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815265" w:rsidRPr="00815265" w14:paraId="28E24F1D"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815265" w:rsidRPr="00815265" w14:paraId="41648DC5"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815265" w:rsidRPr="00815265" w14:paraId="0717749C"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815265" w:rsidRPr="00815265" w14:paraId="39BD24E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1A240C0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67E1ED2F"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815265" w:rsidRPr="00815265" w14:paraId="762E60C4" w14:textId="77777777">
                                            <w:trPr>
                                              <w:tblCellSpacing w:w="0" w:type="dxa"/>
                                            </w:trPr>
                                            <w:tc>
                                              <w:tcPr>
                                                <w:tcW w:w="0" w:type="auto"/>
                                                <w:tcBorders>
                                                  <w:top w:val="nil"/>
                                                  <w:left w:val="nil"/>
                                                  <w:bottom w:val="nil"/>
                                                  <w:right w:val="nil"/>
                                                </w:tcBorders>
                                                <w:hideMark/>
                                              </w:tcPr>
                                              <w:p w14:paraId="6F890269" w14:textId="03E4951F" w:rsidR="00815265" w:rsidRPr="00815265" w:rsidRDefault="00815265" w:rsidP="00815265">
                                                <w:r w:rsidRPr="00815265">
                                                  <w:drawing>
                                                    <wp:inline distT="0" distB="0" distL="0" distR="0" wp14:anchorId="5C2B2CE0" wp14:editId="63A08D32">
                                                      <wp:extent cx="3143250" cy="1047750"/>
                                                      <wp:effectExtent l="0" t="0" r="0" b="0"/>
                                                      <wp:docPr id="8108591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6C432B53" w14:textId="77777777" w:rsidR="00815265" w:rsidRPr="00815265" w:rsidRDefault="00815265" w:rsidP="00815265"/>
                                      </w:tc>
                                    </w:tr>
                                  </w:tbl>
                                  <w:p w14:paraId="615522C7" w14:textId="77777777" w:rsidR="00815265" w:rsidRPr="00815265" w:rsidRDefault="00815265" w:rsidP="00815265"/>
                                </w:tc>
                              </w:tr>
                            </w:tbl>
                            <w:p w14:paraId="73EF2DCE" w14:textId="77777777" w:rsidR="00815265" w:rsidRPr="00815265" w:rsidRDefault="00815265" w:rsidP="00815265"/>
                          </w:tc>
                        </w:tr>
                      </w:tbl>
                      <w:p w14:paraId="283EAA49" w14:textId="77777777" w:rsidR="00815265" w:rsidRPr="00815265" w:rsidRDefault="00815265" w:rsidP="00815265"/>
                    </w:tc>
                  </w:tr>
                </w:tbl>
                <w:p w14:paraId="29E14017" w14:textId="77777777" w:rsidR="00815265" w:rsidRPr="00815265" w:rsidRDefault="00815265" w:rsidP="00815265"/>
              </w:tc>
            </w:tr>
            <w:tr w:rsidR="00815265" w:rsidRPr="00815265" w14:paraId="7B35A247"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815265" w:rsidRPr="00815265" w14:paraId="12120999"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815265" w:rsidRPr="00815265" w14:paraId="5DB8738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4FF0DF8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52448C44"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085C39D7" w14:textId="77777777">
                                            <w:trPr>
                                              <w:trHeight w:val="300"/>
                                            </w:trPr>
                                            <w:tc>
                                              <w:tcPr>
                                                <w:tcW w:w="0" w:type="auto"/>
                                                <w:hideMark/>
                                              </w:tcPr>
                                              <w:p w14:paraId="499F891F" w14:textId="77777777" w:rsidR="00815265" w:rsidRPr="00815265" w:rsidRDefault="00815265" w:rsidP="00815265"/>
                                            </w:tc>
                                          </w:tr>
                                        </w:tbl>
                                        <w:p w14:paraId="55239CD5" w14:textId="77777777" w:rsidR="00815265" w:rsidRPr="00815265" w:rsidRDefault="00815265" w:rsidP="00815265"/>
                                      </w:tc>
                                    </w:tr>
                                    <w:tr w:rsidR="00815265" w:rsidRPr="00815265" w14:paraId="52DAA57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815265" w:rsidRPr="00815265" w14:paraId="2F91F9A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815265" w:rsidRPr="00815265" w14:paraId="073B1C60" w14:textId="77777777">
                                                  <w:trPr>
                                                    <w:tblCellSpacing w:w="15" w:type="dxa"/>
                                                  </w:trPr>
                                                  <w:tc>
                                                    <w:tcPr>
                                                      <w:tcW w:w="0" w:type="auto"/>
                                                      <w:tcMar>
                                                        <w:top w:w="180" w:type="dxa"/>
                                                        <w:left w:w="360" w:type="dxa"/>
                                                        <w:bottom w:w="180" w:type="dxa"/>
                                                        <w:right w:w="360" w:type="dxa"/>
                                                      </w:tcMar>
                                                      <w:vAlign w:val="center"/>
                                                      <w:hideMark/>
                                                    </w:tcPr>
                                                    <w:p w14:paraId="2AC5F455" w14:textId="77777777" w:rsidR="00815265" w:rsidRPr="00815265" w:rsidRDefault="00815265" w:rsidP="00815265">
                                                      <w:pPr>
                                                        <w:rPr>
                                                          <w:b/>
                                                          <w:bCs/>
                                                        </w:rPr>
                                                      </w:pPr>
                                                      <w:r w:rsidRPr="00815265">
                                                        <w:rPr>
                                                          <w:b/>
                                                          <w:bCs/>
                                                        </w:rPr>
                                                        <w:t>HRF Legal Update: New Actions Across Europe, Latin America, and International Finance</w:t>
                                                      </w:r>
                                                    </w:p>
                                                  </w:tc>
                                                </w:tr>
                                              </w:tbl>
                                              <w:p w14:paraId="01BC4AE6" w14:textId="77777777" w:rsidR="00815265" w:rsidRPr="00815265" w:rsidRDefault="00815265" w:rsidP="00815265"/>
                                            </w:tc>
                                          </w:tr>
                                        </w:tbl>
                                        <w:p w14:paraId="0E223F14" w14:textId="77777777" w:rsidR="00815265" w:rsidRPr="00815265" w:rsidRDefault="00815265" w:rsidP="00815265"/>
                                      </w:tc>
                                    </w:tr>
                                    <w:tr w:rsidR="00815265" w:rsidRPr="00815265" w14:paraId="0DB8AC4F"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180"/>
                                          </w:tblGrid>
                                          <w:tr w:rsidR="00815265" w:rsidRPr="00815265" w14:paraId="28864218" w14:textId="77777777">
                                            <w:trPr>
                                              <w:tblCellSpacing w:w="0" w:type="dxa"/>
                                              <w:jc w:val="center"/>
                                            </w:trPr>
                                            <w:tc>
                                              <w:tcPr>
                                                <w:tcW w:w="0" w:type="auto"/>
                                                <w:tcBorders>
                                                  <w:top w:val="nil"/>
                                                  <w:left w:val="nil"/>
                                                  <w:bottom w:val="nil"/>
                                                  <w:right w:val="nil"/>
                                                </w:tcBorders>
                                                <w:hideMark/>
                                              </w:tcPr>
                                              <w:p w14:paraId="290B108A" w14:textId="647A6C5B" w:rsidR="00815265" w:rsidRPr="00815265" w:rsidRDefault="00815265" w:rsidP="00815265">
                                                <w:r w:rsidRPr="00815265">
                                                  <w:drawing>
                                                    <wp:inline distT="0" distB="0" distL="0" distR="0" wp14:anchorId="7F6562B7" wp14:editId="127D1523">
                                                      <wp:extent cx="5760720" cy="3237865"/>
                                                      <wp:effectExtent l="0" t="0" r="0" b="635"/>
                                                      <wp:docPr id="540671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237865"/>
                                                              </a:xfrm>
                                                              <a:prstGeom prst="rect">
                                                                <a:avLst/>
                                                              </a:prstGeom>
                                                              <a:noFill/>
                                                              <a:ln>
                                                                <a:noFill/>
                                                              </a:ln>
                                                            </pic:spPr>
                                                          </pic:pic>
                                                        </a:graphicData>
                                                      </a:graphic>
                                                    </wp:inline>
                                                  </w:drawing>
                                                </w:r>
                                              </w:p>
                                            </w:tc>
                                          </w:tr>
                                        </w:tbl>
                                        <w:p w14:paraId="41A262E4" w14:textId="77777777" w:rsidR="00815265" w:rsidRPr="00815265" w:rsidRDefault="00815265" w:rsidP="00815265"/>
                                      </w:tc>
                                    </w:tr>
                                    <w:tr w:rsidR="00815265" w:rsidRPr="00815265" w14:paraId="43E8D09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815265" w:rsidRPr="00815265" w14:paraId="5699E11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815265" w:rsidRPr="00815265" w14:paraId="051DCDF7" w14:textId="77777777">
                                                  <w:trPr>
                                                    <w:tblCellSpacing w:w="15" w:type="dxa"/>
                                                  </w:trPr>
                                                  <w:tc>
                                                    <w:tcPr>
                                                      <w:tcW w:w="0" w:type="auto"/>
                                                      <w:tcMar>
                                                        <w:top w:w="180" w:type="dxa"/>
                                                        <w:left w:w="360" w:type="dxa"/>
                                                        <w:bottom w:w="180" w:type="dxa"/>
                                                        <w:right w:w="360" w:type="dxa"/>
                                                      </w:tcMar>
                                                      <w:vAlign w:val="center"/>
                                                      <w:hideMark/>
                                                    </w:tcPr>
                                                    <w:p w14:paraId="00B70043" w14:textId="77777777" w:rsidR="00815265" w:rsidRPr="00815265" w:rsidRDefault="00815265" w:rsidP="00815265">
                                                      <w:r w:rsidRPr="00815265">
                                                        <w:rPr>
                                                          <w:b/>
                                                          <w:bCs/>
                                                        </w:rPr>
                                                        <w:t>HRF has exposed </w:t>
                                                      </w:r>
                                                      <w:r w:rsidRPr="00815265">
                                                        <w:t>due diligence failures at the </w:t>
                                                      </w:r>
                                                      <w:r w:rsidRPr="00815265">
                                                        <w:rPr>
                                                          <w:b/>
                                                          <w:bCs/>
                                                        </w:rPr>
                                                        <w:t>European Investment Bank </w:t>
                                                      </w:r>
                                                      <w:r w:rsidRPr="00815265">
                                                        <w:t>involving </w:t>
                                                      </w:r>
                                                      <w:r w:rsidRPr="00815265">
                                                        <w:rPr>
                                                          <w:b/>
                                                          <w:bCs/>
                                                        </w:rPr>
                                                        <w:t>over €1 billion in settlement-linked investments</w:t>
                                                      </w:r>
                                                      <w:r w:rsidRPr="00815265">
                                                        <w:t>.</w:t>
                                                      </w:r>
                                                      <w:r w:rsidRPr="00815265">
                                                        <w:br/>
                                                        <w:t>It is pursuing </w:t>
                                                      </w:r>
                                                      <w:r w:rsidRPr="00815265">
                                                        <w:rPr>
                                                          <w:b/>
                                                          <w:bCs/>
                                                        </w:rPr>
                                                        <w:t>legal action against Israeli soldiers</w:t>
                                                      </w:r>
                                                      <w:r w:rsidRPr="00815265">
                                                        <w:t> in </w:t>
                                                      </w:r>
                                                      <w:r w:rsidRPr="00815265">
                                                        <w:rPr>
                                                          <w:b/>
                                                          <w:bCs/>
                                                        </w:rPr>
                                                        <w:t>Amsterdam, Cyprus, and Peru</w:t>
                                                      </w:r>
                                                      <w:r w:rsidRPr="00815265">
                                                        <w:t> for alleged crimes committed in Gaza.</w:t>
                                                      </w:r>
                                                      <w:r w:rsidRPr="00815265">
                                                        <w:br/>
                                                        <w:t>In </w:t>
                                                      </w:r>
                                                      <w:r w:rsidRPr="00815265">
                                                        <w:rPr>
                                                          <w:b/>
                                                          <w:bCs/>
                                                        </w:rPr>
                                                        <w:t>Greece</w:t>
                                                      </w:r>
                                                      <w:r w:rsidRPr="00815265">
                                                        <w:t>, HRF-backed lawyers have triggered an </w:t>
                                                      </w:r>
                                                      <w:r w:rsidRPr="00815265">
                                                        <w:rPr>
                                                          <w:b/>
                                                          <w:bCs/>
                                                        </w:rPr>
                                                        <w:t>investigation into Israeli Minister Israel Katz</w:t>
                                                      </w:r>
                                                      <w:r w:rsidRPr="00815265">
                                                        <w:t>.</w:t>
                                                      </w:r>
                                                      <w:r w:rsidRPr="00815265">
                                                        <w:br/>
                                                        <w:t>In </w:t>
                                                      </w:r>
                                                      <w:r w:rsidRPr="00815265">
                                                        <w:rPr>
                                                          <w:b/>
                                                          <w:bCs/>
                                                        </w:rPr>
                                                        <w:t>Germany</w:t>
                                                      </w:r>
                                                      <w:r w:rsidRPr="00815265">
                                                        <w:t>, HRF has filed a </w:t>
                                                      </w:r>
                                                      <w:r w:rsidRPr="00815265">
                                                        <w:rPr>
                                                          <w:b/>
                                                          <w:bCs/>
                                                        </w:rPr>
                                                        <w:t>disciplinary complaint against a prosecutor </w:t>
                                                      </w:r>
                                                      <w:r w:rsidRPr="00815265">
                                                        <w:t>accused of shielding a German-Israeli suspect.</w:t>
                                                      </w:r>
                                                    </w:p>
                                                    <w:p w14:paraId="0791A83D" w14:textId="77777777" w:rsidR="00815265" w:rsidRPr="00815265" w:rsidRDefault="00815265" w:rsidP="00815265"/>
                                                    <w:p w14:paraId="79EFF1D7" w14:textId="77777777" w:rsidR="00815265" w:rsidRPr="00815265" w:rsidRDefault="00815265" w:rsidP="00815265">
                                                      <w:r w:rsidRPr="00815265">
                                                        <w:rPr>
                                                          <w:b/>
                                                          <w:bCs/>
                                                        </w:rPr>
                                                        <w:t>Details below.</w:t>
                                                      </w:r>
                                                    </w:p>
                                                  </w:tc>
                                                </w:tr>
                                              </w:tbl>
                                              <w:p w14:paraId="63733A8B" w14:textId="77777777" w:rsidR="00815265" w:rsidRPr="00815265" w:rsidRDefault="00815265" w:rsidP="00815265"/>
                                            </w:tc>
                                          </w:tr>
                                        </w:tbl>
                                        <w:p w14:paraId="685C9C66" w14:textId="77777777" w:rsidR="00815265" w:rsidRPr="00815265" w:rsidRDefault="00815265" w:rsidP="00815265"/>
                                      </w:tc>
                                    </w:tr>
                                    <w:tr w:rsidR="00815265" w:rsidRPr="00815265" w14:paraId="1C36B425"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468C9329" w14:textId="77777777">
                                            <w:trPr>
                                              <w:trHeight w:val="200"/>
                                            </w:trPr>
                                            <w:tc>
                                              <w:tcPr>
                                                <w:tcW w:w="0" w:type="auto"/>
                                                <w:hideMark/>
                                              </w:tcPr>
                                              <w:p w14:paraId="559815E3" w14:textId="77777777" w:rsidR="00815265" w:rsidRPr="00815265" w:rsidRDefault="00815265" w:rsidP="00815265"/>
                                            </w:tc>
                                          </w:tr>
                                        </w:tbl>
                                        <w:p w14:paraId="19F662BD" w14:textId="77777777" w:rsidR="00815265" w:rsidRPr="00815265" w:rsidRDefault="00815265" w:rsidP="00815265"/>
                                      </w:tc>
                                    </w:tr>
                                    <w:tr w:rsidR="00815265" w:rsidRPr="00815265" w14:paraId="7F0187B0"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1967"/>
                                          </w:tblGrid>
                                          <w:tr w:rsidR="00815265" w:rsidRPr="00815265" w14:paraId="7D7F9028" w14:textId="77777777">
                                            <w:trPr>
                                              <w:jc w:val="center"/>
                                            </w:trPr>
                                            <w:tc>
                                              <w:tcPr>
                                                <w:tcW w:w="0" w:type="auto"/>
                                                <w:shd w:val="clear" w:color="auto" w:fill="FFF960"/>
                                                <w:hideMark/>
                                              </w:tcPr>
                                              <w:p w14:paraId="79A9ADDA" w14:textId="77777777" w:rsidR="00815265" w:rsidRPr="00815265" w:rsidRDefault="00815265" w:rsidP="00815265">
                                                <w:hyperlink r:id="rId6" w:tgtFrame="_blank" w:history="1">
                                                  <w:r w:rsidRPr="00815265">
                                                    <w:rPr>
                                                      <w:rStyle w:val="Hyperlink"/>
                                                      <w:b/>
                                                      <w:bCs/>
                                                    </w:rPr>
                                                    <w:t>SUPPORT OUR WORK</w:t>
                                                  </w:r>
                                                </w:hyperlink>
                                              </w:p>
                                            </w:tc>
                                          </w:tr>
                                        </w:tbl>
                                        <w:p w14:paraId="21CA5A6D" w14:textId="77777777" w:rsidR="00815265" w:rsidRPr="00815265" w:rsidRDefault="00815265" w:rsidP="00815265">
                                          <w:pPr>
                                            <w:rPr>
                                              <w:vanish/>
                                            </w:rPr>
                                          </w:pPr>
                                        </w:p>
                                        <w:tbl>
                                          <w:tblPr>
                                            <w:tblW w:w="0" w:type="auto"/>
                                            <w:jc w:val="center"/>
                                            <w:tblCellMar>
                                              <w:left w:w="0" w:type="dxa"/>
                                              <w:right w:w="0" w:type="dxa"/>
                                            </w:tblCellMar>
                                            <w:tblLook w:val="04A0" w:firstRow="1" w:lastRow="0" w:firstColumn="1" w:lastColumn="0" w:noHBand="0" w:noVBand="1"/>
                                          </w:tblPr>
                                          <w:tblGrid>
                                            <w:gridCol w:w="6"/>
                                          </w:tblGrid>
                                          <w:tr w:rsidR="00815265" w:rsidRPr="00815265" w14:paraId="56FC914C" w14:textId="77777777">
                                            <w:trPr>
                                              <w:jc w:val="center"/>
                                            </w:trPr>
                                            <w:tc>
                                              <w:tcPr>
                                                <w:tcW w:w="0" w:type="auto"/>
                                                <w:vAlign w:val="center"/>
                                                <w:hideMark/>
                                              </w:tcPr>
                                              <w:p w14:paraId="6AFBBFDE" w14:textId="77777777" w:rsidR="00815265" w:rsidRPr="00815265" w:rsidRDefault="00815265" w:rsidP="00815265"/>
                                            </w:tc>
                                          </w:tr>
                                        </w:tbl>
                                        <w:p w14:paraId="325EEEF2" w14:textId="77777777" w:rsidR="00815265" w:rsidRPr="00815265" w:rsidRDefault="00815265" w:rsidP="00815265"/>
                                      </w:tc>
                                    </w:tr>
                                    <w:tr w:rsidR="00815265" w:rsidRPr="00815265" w14:paraId="26D26D9E"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815265" w:rsidRPr="00815265" w14:paraId="5FDD7416" w14:textId="77777777">
                                            <w:trPr>
                                              <w:trHeight w:val="200"/>
                                            </w:trPr>
                                            <w:tc>
                                              <w:tcPr>
                                                <w:tcW w:w="0" w:type="auto"/>
                                                <w:hideMark/>
                                              </w:tcPr>
                                              <w:p w14:paraId="78BF599A" w14:textId="77777777" w:rsidR="00815265" w:rsidRPr="00815265" w:rsidRDefault="00815265" w:rsidP="00815265"/>
                                            </w:tc>
                                          </w:tr>
                                        </w:tbl>
                                        <w:p w14:paraId="4DBB55AB" w14:textId="77777777" w:rsidR="00815265" w:rsidRPr="00815265" w:rsidRDefault="00815265" w:rsidP="00815265"/>
                                      </w:tc>
                                    </w:tr>
                                    <w:tr w:rsidR="00815265" w:rsidRPr="00815265" w14:paraId="7BDE9FB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815265" w:rsidRPr="00815265" w14:paraId="6530D50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815265" w:rsidRPr="00815265" w14:paraId="4A5A375B" w14:textId="77777777">
                                                  <w:trPr>
                                                    <w:tblCellSpacing w:w="15" w:type="dxa"/>
                                                  </w:trPr>
                                                  <w:tc>
                                                    <w:tcPr>
                                                      <w:tcW w:w="0" w:type="auto"/>
                                                      <w:tcMar>
                                                        <w:top w:w="180" w:type="dxa"/>
                                                        <w:left w:w="360" w:type="dxa"/>
                                                        <w:bottom w:w="180" w:type="dxa"/>
                                                        <w:right w:w="360" w:type="dxa"/>
                                                      </w:tcMar>
                                                      <w:vAlign w:val="center"/>
                                                      <w:hideMark/>
                                                    </w:tcPr>
                                                    <w:p w14:paraId="71C420D6" w14:textId="77777777" w:rsidR="00815265" w:rsidRPr="00815265" w:rsidRDefault="00815265" w:rsidP="00815265"/>
                                                    <w:p w14:paraId="0C2C94CD" w14:textId="77777777" w:rsidR="00815265" w:rsidRPr="00815265" w:rsidRDefault="00815265" w:rsidP="00815265"/>
                                                    <w:p w14:paraId="2555350C" w14:textId="77777777" w:rsidR="00815265" w:rsidRPr="00815265" w:rsidRDefault="00815265" w:rsidP="00815265"/>
                                                    <w:p w14:paraId="50E0C628" w14:textId="77777777" w:rsidR="00815265" w:rsidRPr="00815265" w:rsidRDefault="00815265" w:rsidP="00815265">
                                                      <w:r w:rsidRPr="00815265">
                                                        <w:rPr>
                                                          <w:b/>
                                                          <w:bCs/>
                                                        </w:rPr>
                                                        <w:t>After HRF Complaint: EIB Admits Due Diligence Failures Over €1 Billion in Investments Linked to Illegal Israeli Settlements</w:t>
                                                      </w:r>
                                                    </w:p>
                                                    <w:p w14:paraId="5A1EBA3B" w14:textId="77777777" w:rsidR="00815265" w:rsidRPr="00815265" w:rsidRDefault="00815265" w:rsidP="00815265"/>
                                                    <w:p w14:paraId="67DB5122" w14:textId="77777777" w:rsidR="00815265" w:rsidRPr="00815265" w:rsidRDefault="00815265" w:rsidP="00815265">
                                                      <w:r w:rsidRPr="00815265">
                                                        <w:t>Following an HRF complaint, the European Investment Bank has admitted due diligence failures concerning more than €1 billion in investments linked to entities included in the UN database of companies involved in illegal Israeli settlements. This development places renewed scrutiny on European financial institutions and their responsibility not to contribute to or benefit from grave violations of international law.</w:t>
                                                      </w:r>
                                                    </w:p>
                                                    <w:p w14:paraId="63C46E2D" w14:textId="77777777" w:rsidR="00815265" w:rsidRPr="00815265" w:rsidRDefault="00815265" w:rsidP="00815265"/>
                                                    <w:p w14:paraId="01C3929D" w14:textId="77777777" w:rsidR="00815265" w:rsidRPr="00815265" w:rsidRDefault="00815265" w:rsidP="00815265">
                                                      <w:r w:rsidRPr="00815265">
                                                        <w:rPr>
                                                          <w:b/>
                                                          <w:bCs/>
                                                        </w:rPr>
                                                        <w:t>Inside the Ruins of Justice: The Case Against Sergeant Shmuel Assouline in Amsterdam</w:t>
                                                      </w:r>
                                                    </w:p>
                                                    <w:p w14:paraId="46DC317B" w14:textId="77777777" w:rsidR="00815265" w:rsidRPr="00815265" w:rsidRDefault="00815265" w:rsidP="00815265"/>
                                                    <w:p w14:paraId="0863081E" w14:textId="77777777" w:rsidR="00815265" w:rsidRPr="00815265" w:rsidRDefault="00815265" w:rsidP="00815265">
                                                      <w:r w:rsidRPr="00815265">
                                                        <w:t>HRF has sought the arrest of IDF Sergeant Shmuel Assouline in Amsterdam for alleged war crimes connected to the destruction of Gaza's Palace of Justice. The case concerns not only the physical destruction of a civilian judicial institution, but also the symbolic and material assault on the very infrastructure of justice in Gaza.</w:t>
                                                      </w:r>
                                                    </w:p>
                                                    <w:p w14:paraId="5A3B1581" w14:textId="77777777" w:rsidR="00815265" w:rsidRPr="00815265" w:rsidRDefault="00815265" w:rsidP="00815265"/>
                                                    <w:p w14:paraId="27B4CEF4" w14:textId="77777777" w:rsidR="00815265" w:rsidRPr="00815265" w:rsidRDefault="00815265" w:rsidP="00815265">
                                                      <w:r w:rsidRPr="00815265">
                                                        <w:rPr>
                                                          <w:b/>
                                                          <w:bCs/>
                                                        </w:rPr>
                                                        <w:t>Germany: HRF Files Disciplinary Complaint Against Senior Federal Public Prosecutor</w:t>
                                                      </w:r>
                                                    </w:p>
                                                    <w:p w14:paraId="5E743F5B" w14:textId="77777777" w:rsidR="00815265" w:rsidRPr="00815265" w:rsidRDefault="00815265" w:rsidP="00815265"/>
                                                    <w:p w14:paraId="2CAF624C" w14:textId="77777777" w:rsidR="00815265" w:rsidRPr="00815265" w:rsidRDefault="00815265" w:rsidP="00815265">
                                                      <w:r w:rsidRPr="00815265">
                                                        <w:t>In Germany, HRF has filed a disciplinary complaint against a senior federal public prosecutor for shielding German citizen Shimon Zuckerman from genocide charges. The complaint challenges prosecutorial inaction and raises serious concerns about double standards when European citizens are implicated in atrocity crimes committed in Gaza.</w:t>
                                                      </w:r>
                                                    </w:p>
                                                    <w:p w14:paraId="5F5AC816" w14:textId="77777777" w:rsidR="00815265" w:rsidRPr="00815265" w:rsidRDefault="00815265" w:rsidP="00815265"/>
                                                    <w:p w14:paraId="38BAE2F6" w14:textId="77777777" w:rsidR="00815265" w:rsidRPr="00815265" w:rsidRDefault="00815265" w:rsidP="00815265">
                                                      <w:r w:rsidRPr="00815265">
                                                        <w:rPr>
                                                          <w:b/>
                                                          <w:bCs/>
                                                        </w:rPr>
                                                        <w:t>Universal Jurisdiction in Action: Peru Investigates Israeli Soldier After HRF Complaint</w:t>
                                                      </w:r>
                                                    </w:p>
                                                    <w:p w14:paraId="74A1D194" w14:textId="77777777" w:rsidR="00815265" w:rsidRPr="00815265" w:rsidRDefault="00815265" w:rsidP="00815265"/>
                                                    <w:p w14:paraId="7EF20F47" w14:textId="77777777" w:rsidR="00815265" w:rsidRPr="00815265" w:rsidRDefault="00815265" w:rsidP="00815265">
                                                      <w:r w:rsidRPr="00815265">
                                                        <w:t>In a landmark development, Peru has opened an investigation into an Israeli soldier from the Shaked Battalion following an HRF complaint alleging genocide and war crimes in Gaza. This case demonstrates the practical force of universal jurisdiction and confirms that accountability can advance far beyond the immediate geography of the crimes.</w:t>
                                                      </w:r>
                                                    </w:p>
                                                    <w:p w14:paraId="27410204" w14:textId="77777777" w:rsidR="00815265" w:rsidRPr="00815265" w:rsidRDefault="00815265" w:rsidP="00815265"/>
                                                    <w:p w14:paraId="03F72A99" w14:textId="77777777" w:rsidR="00815265" w:rsidRPr="00815265" w:rsidRDefault="00815265" w:rsidP="00815265">
                                                      <w:r w:rsidRPr="00815265">
                                                        <w:rPr>
                                                          <w:b/>
                                                          <w:bCs/>
                                                        </w:rPr>
                                                        <w:t>Greece Opens Investigation into Israeli Minister Israel Katz</w:t>
                                                      </w:r>
                                                    </w:p>
                                                    <w:p w14:paraId="3C29EC93" w14:textId="77777777" w:rsidR="00815265" w:rsidRPr="00815265" w:rsidRDefault="00815265" w:rsidP="00815265"/>
                                                    <w:p w14:paraId="2F6597B3" w14:textId="77777777" w:rsidR="00815265" w:rsidRPr="00815265" w:rsidRDefault="00815265" w:rsidP="00815265">
                                                      <w:r w:rsidRPr="00815265">
                                                        <w:t xml:space="preserve">A complaint filed in Greece by HRF and Greek lawyers has triggered an investigation into Israeli Minister Israel Katz over allegations of serious international crimes. This is another important step in </w:t>
                                                      </w:r>
                                                      <w:r w:rsidRPr="00815265">
                                                        <w:lastRenderedPageBreak/>
                                                        <w:t>ensuring that political office does not provide immunity for those suspected of involvement in grave violations of international law.</w:t>
                                                      </w:r>
                                                    </w:p>
                                                    <w:p w14:paraId="67796EC3" w14:textId="77777777" w:rsidR="00815265" w:rsidRPr="00815265" w:rsidRDefault="00815265" w:rsidP="00815265"/>
                                                    <w:p w14:paraId="389B2CA5" w14:textId="77777777" w:rsidR="00815265" w:rsidRPr="00815265" w:rsidRDefault="00815265" w:rsidP="00815265">
                                                      <w:r w:rsidRPr="00815265">
                                                        <w:rPr>
                                                          <w:b/>
                                                          <w:bCs/>
                                                        </w:rPr>
                                                        <w:t>HRF Seeks Immediate Arrest of Israeli Soldier in Cyprus for Gaza Schools Destruction</w:t>
                                                      </w:r>
                                                    </w:p>
                                                    <w:p w14:paraId="340C8ECF" w14:textId="77777777" w:rsidR="00815265" w:rsidRPr="00815265" w:rsidRDefault="00815265" w:rsidP="00815265"/>
                                                    <w:p w14:paraId="60CF5F02" w14:textId="77777777" w:rsidR="00815265" w:rsidRPr="00815265" w:rsidRDefault="00815265" w:rsidP="00815265">
                                                      <w:r w:rsidRPr="00815265">
                                                        <w:t>HRF has filed a legal request in Cyprus seeking the immediate arrest of Israeli soldier Ori Narkis, alleging his involvement in war crimes and the destruction of civilian sites, including schools, in Gaza. The targeting or destruction of educational infrastructure is not only an attack on buildings, but on the future of an entire people.</w:t>
                                                      </w:r>
                                                    </w:p>
                                                    <w:p w14:paraId="0E7CB854" w14:textId="77777777" w:rsidR="00815265" w:rsidRPr="00815265" w:rsidRDefault="00815265" w:rsidP="00815265"/>
                                                    <w:p w14:paraId="61B837DE" w14:textId="77777777" w:rsidR="00815265" w:rsidRPr="00815265" w:rsidRDefault="00815265" w:rsidP="00815265">
                                                      <w:r w:rsidRPr="00815265">
                                                        <w:rPr>
                                                          <w:b/>
                                                          <w:bCs/>
                                                          <w:i/>
                                                          <w:iCs/>
                                                        </w:rPr>
                                                        <w:t>These cases are part of HRF's broader strategy: to ensure that those responsible for international crimes in Palestine face legal consequences wherever they travel, invest, command, or seek protection.</w:t>
                                                      </w:r>
                                                    </w:p>
                                                    <w:p w14:paraId="7344392E" w14:textId="77777777" w:rsidR="00815265" w:rsidRPr="00815265" w:rsidRDefault="00815265" w:rsidP="00815265"/>
                                                    <w:p w14:paraId="1B528B61" w14:textId="77777777" w:rsidR="00815265" w:rsidRPr="00815265" w:rsidRDefault="00815265" w:rsidP="00815265">
                                                      <w:r w:rsidRPr="00815265">
                                                        <w:rPr>
                                                          <w:b/>
                                                          <w:bCs/>
                                                          <w:i/>
                                                          <w:iCs/>
                                                        </w:rPr>
                                                        <w:t>Justice is no longer a distant promise. It is being pursued case by case, jurisdiction by jurisdiction, institution by institution.</w:t>
                                                      </w:r>
                                                    </w:p>
                                                    <w:p w14:paraId="48B9D0D8" w14:textId="77777777" w:rsidR="00815265" w:rsidRPr="00815265" w:rsidRDefault="00815265" w:rsidP="00815265"/>
                                                    <w:p w14:paraId="1B8DC8AF" w14:textId="77777777" w:rsidR="00815265" w:rsidRPr="00815265" w:rsidRDefault="00815265" w:rsidP="00815265">
                                                      <w:r w:rsidRPr="00815265">
                                                        <w:rPr>
                                                          <w:b/>
                                                          <w:bCs/>
                                                          <w:i/>
                                                          <w:iCs/>
                                                        </w:rPr>
                                                        <w:t>We invite you to follow, share, and support this work.</w:t>
                                                      </w:r>
                                                    </w:p>
                                                    <w:p w14:paraId="2958AFBA" w14:textId="77777777" w:rsidR="00815265" w:rsidRPr="00815265" w:rsidRDefault="00815265" w:rsidP="00815265"/>
                                                  </w:tc>
                                                </w:tr>
                                              </w:tbl>
                                              <w:p w14:paraId="020A6E29" w14:textId="77777777" w:rsidR="00815265" w:rsidRPr="00815265" w:rsidRDefault="00815265" w:rsidP="00815265"/>
                                            </w:tc>
                                          </w:tr>
                                        </w:tbl>
                                        <w:p w14:paraId="1D69B8AE" w14:textId="77777777" w:rsidR="00815265" w:rsidRPr="00815265" w:rsidRDefault="00815265" w:rsidP="00815265"/>
                                      </w:tc>
                                    </w:tr>
                                  </w:tbl>
                                  <w:p w14:paraId="26A2D5CD" w14:textId="77777777" w:rsidR="00815265" w:rsidRPr="00815265" w:rsidRDefault="00815265" w:rsidP="00815265"/>
                                </w:tc>
                              </w:tr>
                            </w:tbl>
                            <w:p w14:paraId="66BC37E0" w14:textId="77777777" w:rsidR="00815265" w:rsidRPr="00815265" w:rsidRDefault="00815265" w:rsidP="00815265"/>
                          </w:tc>
                        </w:tr>
                      </w:tbl>
                      <w:p w14:paraId="0835C6A3" w14:textId="77777777" w:rsidR="00815265" w:rsidRPr="00815265" w:rsidRDefault="00815265" w:rsidP="00815265"/>
                    </w:tc>
                  </w:tr>
                </w:tbl>
                <w:p w14:paraId="5906F6C4" w14:textId="77777777" w:rsidR="00815265" w:rsidRPr="00815265" w:rsidRDefault="00815265" w:rsidP="00815265"/>
              </w:tc>
            </w:tr>
          </w:tbl>
          <w:p w14:paraId="539F7F45" w14:textId="77777777" w:rsidR="00815265" w:rsidRPr="00815265" w:rsidRDefault="00815265" w:rsidP="00815265"/>
        </w:tc>
      </w:tr>
    </w:tbl>
    <w:p w14:paraId="26BBA6A8"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5"/>
    <w:rsid w:val="00815265"/>
    <w:rsid w:val="00A13ADC"/>
    <w:rsid w:val="00A55901"/>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A595"/>
  <w15:chartTrackingRefBased/>
  <w15:docId w15:val="{13FD15B0-3E52-4511-A2B6-9069B3E3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5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5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52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52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52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52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52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52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52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52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52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52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52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52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52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52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52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5265"/>
    <w:rPr>
      <w:rFonts w:eastAsiaTheme="majorEastAsia" w:cstheme="majorBidi"/>
      <w:color w:val="272727" w:themeColor="text1" w:themeTint="D8"/>
    </w:rPr>
  </w:style>
  <w:style w:type="paragraph" w:styleId="Titel">
    <w:name w:val="Title"/>
    <w:basedOn w:val="Standaard"/>
    <w:next w:val="Standaard"/>
    <w:link w:val="TitelChar"/>
    <w:uiPriority w:val="10"/>
    <w:qFormat/>
    <w:rsid w:val="0081526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52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52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52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52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5265"/>
    <w:rPr>
      <w:i/>
      <w:iCs/>
      <w:color w:val="404040" w:themeColor="text1" w:themeTint="BF"/>
    </w:rPr>
  </w:style>
  <w:style w:type="paragraph" w:styleId="Lijstalinea">
    <w:name w:val="List Paragraph"/>
    <w:basedOn w:val="Standaard"/>
    <w:uiPriority w:val="34"/>
    <w:qFormat/>
    <w:rsid w:val="00815265"/>
    <w:pPr>
      <w:ind w:left="720"/>
      <w:contextualSpacing/>
    </w:pPr>
  </w:style>
  <w:style w:type="character" w:styleId="Intensievebenadrukking">
    <w:name w:val="Intense Emphasis"/>
    <w:basedOn w:val="Standaardalinea-lettertype"/>
    <w:uiPriority w:val="21"/>
    <w:qFormat/>
    <w:rsid w:val="00815265"/>
    <w:rPr>
      <w:i/>
      <w:iCs/>
      <w:color w:val="0F4761" w:themeColor="accent1" w:themeShade="BF"/>
    </w:rPr>
  </w:style>
  <w:style w:type="paragraph" w:styleId="Duidelijkcitaat">
    <w:name w:val="Intense Quote"/>
    <w:basedOn w:val="Standaard"/>
    <w:next w:val="Standaard"/>
    <w:link w:val="DuidelijkcitaatChar"/>
    <w:uiPriority w:val="30"/>
    <w:qFormat/>
    <w:rsid w:val="00815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5265"/>
    <w:rPr>
      <w:i/>
      <w:iCs/>
      <w:color w:val="0F4761" w:themeColor="accent1" w:themeShade="BF"/>
    </w:rPr>
  </w:style>
  <w:style w:type="character" w:styleId="Intensieveverwijzing">
    <w:name w:val="Intense Reference"/>
    <w:basedOn w:val="Standaardalinea-lettertype"/>
    <w:uiPriority w:val="32"/>
    <w:qFormat/>
    <w:rsid w:val="00815265"/>
    <w:rPr>
      <w:b/>
      <w:bCs/>
      <w:smallCaps/>
      <w:color w:val="0F4761" w:themeColor="accent1" w:themeShade="BF"/>
      <w:spacing w:val="5"/>
    </w:rPr>
  </w:style>
  <w:style w:type="character" w:styleId="Hyperlink">
    <w:name w:val="Hyperlink"/>
    <w:basedOn w:val="Standaardalinea-lettertype"/>
    <w:uiPriority w:val="99"/>
    <w:unhideWhenUsed/>
    <w:rsid w:val="00815265"/>
    <w:rPr>
      <w:color w:val="467886" w:themeColor="hyperlink"/>
      <w:u w:val="single"/>
    </w:rPr>
  </w:style>
  <w:style w:type="character" w:styleId="Onopgelostemelding">
    <w:name w:val="Unresolved Mention"/>
    <w:basedOn w:val="Standaardalinea-lettertype"/>
    <w:uiPriority w:val="99"/>
    <w:semiHidden/>
    <w:unhideWhenUsed/>
    <w:rsid w:val="00815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0522872513&amp;e=6c17b3f50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589</Words>
  <Characters>3243</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2026-05-21T13:56:00Z</dcterms:created>
  <dcterms:modified xsi:type="dcterms:W3CDTF">2026-05-21T13:56:00Z</dcterms:modified>
</cp:coreProperties>
</file>