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F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1EA6" w:rsidRPr="00311EA6" w14:paraId="4230D883" w14:textId="77777777">
        <w:tc>
          <w:tcPr>
            <w:tcW w:w="9070" w:type="dxa"/>
            <w:shd w:val="clear" w:color="auto" w:fill="EFEBEB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1EA6" w:rsidRPr="00311EA6" w14:paraId="3CB834E1" w14:textId="77777777">
              <w:trPr>
                <w:jc w:val="center"/>
              </w:trPr>
              <w:tc>
                <w:tcPr>
                  <w:tcW w:w="0" w:type="auto"/>
                  <w:shd w:val="clear" w:color="auto" w:fill="04383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311EA6" w:rsidRPr="00311EA6" w14:paraId="34E9F35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311EA6" w:rsidRPr="00311EA6" w14:paraId="5B065C9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311EA6" w:rsidRPr="00311EA6" w14:paraId="72E0682E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311EA6" w:rsidRPr="00311EA6" w14:paraId="08A0447D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04383F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25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311EA6" w:rsidRPr="00311EA6" w14:paraId="799FC3A7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052BBA89" w14:textId="57BB617D" w:rsidR="00311EA6" w:rsidRPr="00311EA6" w:rsidRDefault="00311EA6" w:rsidP="00311EA6">
                                                <w:r w:rsidRPr="00311EA6">
                                                  <w:drawing>
                                                    <wp:inline distT="0" distB="0" distL="0" distR="0" wp14:anchorId="32E477CE" wp14:editId="0C25DE3A">
                                                      <wp:extent cx="3143250" cy="1047750"/>
                                                      <wp:effectExtent l="0" t="0" r="0" b="0"/>
                                                      <wp:docPr id="498566586" name="Afbeelding 4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43250" cy="10477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121CC1E" w14:textId="77777777" w:rsidR="00311EA6" w:rsidRPr="00311EA6" w:rsidRDefault="00311EA6" w:rsidP="00311EA6"/>
                                      </w:tc>
                                    </w:tr>
                                  </w:tbl>
                                  <w:p w14:paraId="07701B9F" w14:textId="77777777" w:rsidR="00311EA6" w:rsidRPr="00311EA6" w:rsidRDefault="00311EA6" w:rsidP="00311EA6"/>
                                </w:tc>
                              </w:tr>
                            </w:tbl>
                            <w:p w14:paraId="2609A4DC" w14:textId="77777777" w:rsidR="00311EA6" w:rsidRPr="00311EA6" w:rsidRDefault="00311EA6" w:rsidP="00311EA6"/>
                          </w:tc>
                        </w:tr>
                      </w:tbl>
                      <w:p w14:paraId="1E1C0B4B" w14:textId="77777777" w:rsidR="00311EA6" w:rsidRPr="00311EA6" w:rsidRDefault="00311EA6" w:rsidP="00311EA6"/>
                    </w:tc>
                  </w:tr>
                </w:tbl>
                <w:p w14:paraId="0E2857AD" w14:textId="77777777" w:rsidR="00311EA6" w:rsidRPr="00311EA6" w:rsidRDefault="00311EA6" w:rsidP="00311EA6"/>
              </w:tc>
            </w:tr>
            <w:tr w:rsidR="00311EA6" w:rsidRPr="00311EA6" w14:paraId="5AF6777A" w14:textId="77777777">
              <w:trPr>
                <w:jc w:val="center"/>
              </w:trPr>
              <w:tc>
                <w:tcPr>
                  <w:tcW w:w="0" w:type="auto"/>
                  <w:shd w:val="clear" w:color="auto" w:fill="EFEBEB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311EA6" w:rsidRPr="00311EA6" w14:paraId="44A962D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FEBEB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311EA6" w:rsidRPr="00311EA6" w14:paraId="31BC6CD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311EA6" w:rsidRPr="00311EA6" w14:paraId="4F684718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311EA6" w:rsidRPr="00311EA6" w14:paraId="7472DFBA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EFEBEB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5C8CD571" w14:textId="77777777">
                                            <w:trPr>
                                              <w:trHeight w:val="3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01D17BF3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21E54ACA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2B5B196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6EC7790D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311EA6" w:rsidRPr="00311EA6" w14:paraId="259BB294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5FDD32F" w14:textId="77777777" w:rsidR="00311EA6" w:rsidRPr="00311EA6" w:rsidRDefault="00311EA6" w:rsidP="00311EA6">
                                                      <w:pPr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From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Cancelled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Travel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Expanding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Cases: HRF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War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Criminals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Intensifies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11E9F05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757BD9B0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3D2DBF0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61AC48D5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311EA6" w:rsidRPr="00311EA6" w14:paraId="7D826ACD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0EAE7AC" w14:textId="77777777" w:rsidR="00311EA6" w:rsidRPr="00311EA6" w:rsidRDefault="00311EA6" w:rsidP="00311EA6">
                                                      <w:r w:rsidRPr="00311EA6">
                                                        <w:t>Brussels – 14/04/2026</w:t>
                                                      </w:r>
                                                    </w:p>
                                                    <w:p w14:paraId="2EC6AE77" w14:textId="77777777" w:rsidR="00311EA6" w:rsidRPr="00311EA6" w:rsidRDefault="00311EA6" w:rsidP="00311EA6"/>
                                                    <w:p w14:paraId="171FE42C" w14:textId="77777777" w:rsidR="00311EA6" w:rsidRPr="00311EA6" w:rsidRDefault="00311EA6" w:rsidP="00311EA6"/>
                                                    <w:p w14:paraId="3D8136C3" w14:textId="77777777" w:rsidR="00311EA6" w:rsidRPr="00311EA6" w:rsidRDefault="00311EA6" w:rsidP="00311EA6"/>
                                                    <w:p w14:paraId="211EBB52" w14:textId="77777777" w:rsidR="00311EA6" w:rsidRPr="00311EA6" w:rsidRDefault="00311EA6" w:rsidP="00311EA6"/>
                                                    <w:p w14:paraId="33050285" w14:textId="77777777" w:rsidR="00311EA6" w:rsidRPr="00311EA6" w:rsidRDefault="00311EA6" w:rsidP="00311EA6">
                                                      <w:r w:rsidRPr="00311EA6">
                                                        <w:t xml:space="preserve">Legal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producing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tangible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effects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across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Europe.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Following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action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Hind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Foundation</w:t>
                                                      </w:r>
                                                      <w:r w:rsidRPr="00311EA6">
                                                        <w:t>,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Winter</w:t>
                                                      </w:r>
                                                      <w:r w:rsidRPr="00311EA6">
                                                        <w:rPr>
                                                          <w:u w:val="single"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cancelled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his trip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Italy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avoid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risk of arrest,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marking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concrete form of accountability. At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same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time, new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proceedings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have been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initiated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in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Romania</w:t>
                                                      </w:r>
                                                      <w:r w:rsidRPr="00311EA6"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Elyahu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expanding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front. In contrast,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in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Lithuania</w:t>
                                                      </w:r>
                                                      <w:r w:rsidRPr="00311EA6">
                                                        <w:t xml:space="preserve"> have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far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declined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investigate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Sean Gor</w:t>
                                                      </w:r>
                                                      <w:r w:rsidRPr="00311EA6">
                                                        <w:t>—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despite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presence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country as a student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identification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as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a suspect 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killing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of Hind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—triggering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both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formal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appeal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growing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wave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protests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demanding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consistent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application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Taken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together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these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developments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indicate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clear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trajectory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: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exposure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increasing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public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intensifying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space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steadily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shrinking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across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jurisdictions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623E77F7" w14:textId="77777777" w:rsidR="00311EA6" w:rsidRPr="00311EA6" w:rsidRDefault="00311EA6" w:rsidP="00311EA6"/>
                                                    <w:p w14:paraId="118D1BCB" w14:textId="77777777" w:rsidR="00311EA6" w:rsidRPr="00311EA6" w:rsidRDefault="00311EA6" w:rsidP="00311EA6"/>
                                                    <w:p w14:paraId="6D700526" w14:textId="77777777" w:rsidR="00311EA6" w:rsidRPr="00311EA6" w:rsidRDefault="00311EA6" w:rsidP="00311EA6"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More details below.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F483F2D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29730905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0339A824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5B7FD8EB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1F069B48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52B19F50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7F2CB406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180" w:type="dxa"/>
                                            <w:bottom w:w="180" w:type="dxa"/>
                                            <w:right w:w="18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67"/>
                                          </w:tblGrid>
                                          <w:tr w:rsidR="00311EA6" w:rsidRPr="00311EA6" w14:paraId="1349857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960"/>
                                                <w:hideMark/>
                                              </w:tcPr>
                                              <w:p w14:paraId="55F42C04" w14:textId="77777777" w:rsidR="00311EA6" w:rsidRPr="00311EA6" w:rsidRDefault="00311EA6" w:rsidP="00311EA6">
                                                <w:hyperlink r:id="rId5" w:tgtFrame="_blank" w:history="1">
                                                  <w:r w:rsidRPr="00311EA6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SUPPORT OUR WORK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069252A5" w14:textId="77777777" w:rsidR="00311EA6" w:rsidRPr="00311EA6" w:rsidRDefault="00311EA6" w:rsidP="00311EA6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"/>
                                          </w:tblGrid>
                                          <w:tr w:rsidR="00311EA6" w:rsidRPr="00311EA6" w14:paraId="630DB88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367935B2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206C8B67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541614D2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24D0D438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71034090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7A6A1E37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6C28AB92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0" w:type="dxa"/>
                                            <w:left w:w="300" w:type="dxa"/>
                                            <w:bottom w:w="30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00"/>
                                          </w:tblGrid>
                                          <w:tr w:rsidR="00311EA6" w:rsidRPr="00311EA6" w14:paraId="4FA19CEE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6E29AB68" w14:textId="66AB921E" w:rsidR="00311EA6" w:rsidRPr="00311EA6" w:rsidRDefault="00311EA6" w:rsidP="00311EA6">
                                                <w:r w:rsidRPr="00311EA6">
                                                  <w:lastRenderedPageBreak/>
                                                  <w:drawing>
                                                    <wp:inline distT="0" distB="0" distL="0" distR="0" wp14:anchorId="01D4ECDC" wp14:editId="4B21B1B7">
                                                      <wp:extent cx="5760720" cy="3425190"/>
                                                      <wp:effectExtent l="0" t="0" r="0" b="3810"/>
                                                      <wp:docPr id="320242961" name="Afbeelding 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760720" cy="34251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60E42E3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7C1BC0C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3AEDFC07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311EA6" w:rsidRPr="00311EA6" w14:paraId="5239E66E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F4AE736" w14:textId="77777777" w:rsidR="00311EA6" w:rsidRPr="00311EA6" w:rsidRDefault="00311EA6" w:rsidP="00311EA6"/>
                                                    <w:p w14:paraId="27950778" w14:textId="77777777" w:rsidR="00311EA6" w:rsidRPr="00311EA6" w:rsidRDefault="00311EA6" w:rsidP="00311EA6"/>
                                                    <w:p w14:paraId="1B4C3C05" w14:textId="77777777" w:rsidR="00311EA6" w:rsidRPr="00311EA6" w:rsidRDefault="00311EA6" w:rsidP="00311EA6"/>
                                                    <w:p w14:paraId="56A752D9" w14:textId="77777777" w:rsidR="00311EA6" w:rsidRPr="00311EA6" w:rsidRDefault="00311EA6" w:rsidP="00311EA6"/>
                                                    <w:p w14:paraId="6C223029" w14:textId="77777777" w:rsidR="00311EA6" w:rsidRPr="00311EA6" w:rsidRDefault="00311EA6" w:rsidP="00311EA6"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Winter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Cancels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Visit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For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Fears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of Arrest</w:t>
                                                      </w:r>
                                                    </w:p>
                                                    <w:p w14:paraId="769E9338" w14:textId="77777777" w:rsidR="00311EA6" w:rsidRPr="00311EA6" w:rsidRDefault="00311EA6" w:rsidP="00311EA6">
                                                      <w:proofErr w:type="spellStart"/>
                                                      <w:r w:rsidRPr="00311EA6">
                                                        <w:t>Following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our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action in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Italy</w:t>
                                                      </w:r>
                                                      <w:r w:rsidRPr="00311EA6">
                                                        <w:t>,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Ofer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Winter</w:t>
                                                      </w:r>
                                                      <w:r w:rsidRPr="00311EA6">
                                                        <w:t xml:space="preserve">—a reserve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commander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former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Givati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Brigade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commander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associated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2014 Rafah "Black Friday" massacre,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active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as a genocide propagandist—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cancelled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his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planned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visit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did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enter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country out of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fear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of arrest</w:t>
                                                      </w:r>
                                                      <w:r w:rsidRPr="00311EA6"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now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confirmed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3C82D523" w14:textId="77777777" w:rsidR="00311EA6" w:rsidRPr="00311EA6" w:rsidRDefault="00311EA6" w:rsidP="00311EA6">
                                                      <w:proofErr w:type="spellStart"/>
                                                      <w:r w:rsidRPr="00311EA6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a concrete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measurable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win.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When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suspects begin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alter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their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movements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avoid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jurisdictions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accountability has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already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begun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02377B0E" w14:textId="77777777" w:rsidR="00311EA6" w:rsidRPr="00311EA6" w:rsidRDefault="00311EA6" w:rsidP="00311EA6">
                                                      <w:r w:rsidRPr="00311EA6">
                                                        <w:t xml:space="preserve">But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endpoint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Full accountability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requires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arrest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prosecution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</w:t>
                                                      </w:r>
                                                      <w:r w:rsidRPr="00311EA6"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remains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objective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25788BAC" w14:textId="77777777" w:rsidR="00311EA6" w:rsidRPr="00311EA6" w:rsidRDefault="00311EA6" w:rsidP="00311EA6"/>
                                                    <w:p w14:paraId="1C93192F" w14:textId="77777777" w:rsidR="00311EA6" w:rsidRPr="00311EA6" w:rsidRDefault="00311EA6" w:rsidP="00311EA6"/>
                                                  </w:tc>
                                                </w:tr>
                                              </w:tbl>
                                              <w:p w14:paraId="1249F94F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56EA7873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65EBD0EF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1C096817" w14:textId="77777777">
                                            <w:trPr>
                                              <w:trHeight w:val="20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4FC036F6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2FEB0356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26ED9159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360" w:type="dxa"/>
                                            <w:bottom w:w="18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425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803"/>
                                          </w:tblGrid>
                                          <w:tr w:rsidR="00311EA6" w:rsidRPr="00311EA6" w14:paraId="04AF32F5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22BB40BC" w14:textId="3637D0A5" w:rsidR="00311EA6" w:rsidRPr="00311EA6" w:rsidRDefault="00311EA6" w:rsidP="00311EA6">
                                                <w:r w:rsidRPr="00311EA6">
                                                  <w:lastRenderedPageBreak/>
                                                  <w:drawing>
                                                    <wp:inline distT="0" distB="0" distL="0" distR="0" wp14:anchorId="608F7149" wp14:editId="43D3FA58">
                                                      <wp:extent cx="4953000" cy="3924300"/>
                                                      <wp:effectExtent l="0" t="0" r="0" b="0"/>
                                                      <wp:docPr id="1166594229" name="Afbeelding 2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953000" cy="3924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0429F7E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20ECF8F5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0550C40C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311EA6" w:rsidRPr="00311EA6" w14:paraId="1CB5F744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2EDBE61" w14:textId="77777777" w:rsidR="00311EA6" w:rsidRPr="00311EA6" w:rsidRDefault="00311EA6" w:rsidP="00311EA6"/>
                                                    <w:p w14:paraId="75AD47CE" w14:textId="77777777" w:rsidR="00311EA6" w:rsidRPr="00311EA6" w:rsidRDefault="00311EA6" w:rsidP="00311EA6"/>
                                                    <w:p w14:paraId="13A8AF5D" w14:textId="77777777" w:rsidR="00311EA6" w:rsidRPr="00311EA6" w:rsidRDefault="00311EA6" w:rsidP="00311EA6"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 Romania</w:t>
                                                      </w:r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Hind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Foundation has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filed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criminal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soldier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Elyahu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</w:t>
                                                      </w:r>
                                                      <w:r w:rsidRPr="00311EA6">
                                                        <w:t xml:space="preserve"> The case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based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documented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conduct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during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military operations 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northern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Gaza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between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November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December 2024.</w:t>
                                                      </w:r>
                                                    </w:p>
                                                    <w:p w14:paraId="495C4133" w14:textId="77777777" w:rsidR="00311EA6" w:rsidRPr="00311EA6" w:rsidRDefault="00311EA6" w:rsidP="00311EA6">
                                                      <w:proofErr w:type="spellStart"/>
                                                      <w:r w:rsidRPr="00311EA6"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served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97th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Netzah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Yehuda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Battalion</w:t>
                                                      </w:r>
                                                      <w:r w:rsidRPr="00311EA6">
                                                        <w:t xml:space="preserve">, a unit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associated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with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repeated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allegations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serious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violations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killings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detainees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torture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degrading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treatment.</w:t>
                                                      </w:r>
                                                    </w:p>
                                                    <w:p w14:paraId="733E2721" w14:textId="77777777" w:rsidR="00311EA6" w:rsidRPr="00311EA6" w:rsidRDefault="00311EA6" w:rsidP="00311EA6">
                                                      <w:r w:rsidRPr="00311EA6"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outlines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multiple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alleged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crimes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international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extensive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destruction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property, attacks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objects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unlawful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confinement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ill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-treatment,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torture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outrages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upon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personal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dignity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32700284" w14:textId="77777777" w:rsidR="00311EA6" w:rsidRPr="00311EA6" w:rsidRDefault="00311EA6" w:rsidP="00311EA6">
                                                      <w:proofErr w:type="spellStart"/>
                                                      <w:r w:rsidRPr="00311EA6">
                                                        <w:t>Romania's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not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abstract.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Nishli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reportedly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travelled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repeatedly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country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may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hold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Romanian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nationality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reinforcing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legal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obligation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act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under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applicable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jurisdictional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frameworks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0E1D6097" w14:textId="77777777" w:rsidR="00311EA6" w:rsidRPr="00311EA6" w:rsidRDefault="00311EA6" w:rsidP="00311EA6"/>
                                                    <w:p w14:paraId="180F4425" w14:textId="77777777" w:rsidR="00311EA6" w:rsidRPr="00311EA6" w:rsidRDefault="00311EA6" w:rsidP="00311EA6"/>
                                                  </w:tc>
                                                </w:tr>
                                              </w:tbl>
                                              <w:p w14:paraId="0BDBAB8C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067DBDF4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6F2DE27D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360" w:type="dxa"/>
                                            <w:bottom w:w="180" w:type="dxa"/>
                                            <w:right w:w="36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425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803"/>
                                          </w:tblGrid>
                                          <w:tr w:rsidR="00311EA6" w:rsidRPr="00311EA6" w14:paraId="29C13A28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p w14:paraId="3E179523" w14:textId="77965A5A" w:rsidR="00311EA6" w:rsidRPr="00311EA6" w:rsidRDefault="00311EA6" w:rsidP="00311EA6">
                                                <w:r w:rsidRPr="00311EA6">
                                                  <w:lastRenderedPageBreak/>
                                                  <w:drawing>
                                                    <wp:inline distT="0" distB="0" distL="0" distR="0" wp14:anchorId="79F9F4A8" wp14:editId="32268E17">
                                                      <wp:extent cx="4953000" cy="3530600"/>
                                                      <wp:effectExtent l="0" t="0" r="0" b="0"/>
                                                      <wp:docPr id="288759877" name="Afbeelding 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953000" cy="35306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4E0CD38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6ED2E70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4642F8F3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311EA6" w:rsidRPr="00311EA6" w14:paraId="3B877D28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80" w:type="dxa"/>
                                                        <w:left w:w="360" w:type="dxa"/>
                                                        <w:bottom w:w="180" w:type="dxa"/>
                                                        <w:right w:w="36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E56CD12" w14:textId="77777777" w:rsidR="00311EA6" w:rsidRPr="00311EA6" w:rsidRDefault="00311EA6" w:rsidP="00311EA6"/>
                                                    <w:p w14:paraId="73060886" w14:textId="77777777" w:rsidR="00311EA6" w:rsidRPr="00311EA6" w:rsidRDefault="00311EA6" w:rsidP="00311EA6"/>
                                                    <w:p w14:paraId="4981E67A" w14:textId="77777777" w:rsidR="00311EA6" w:rsidRPr="00311EA6" w:rsidRDefault="00311EA6" w:rsidP="00311EA6"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Appeal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Protest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against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Vampire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Empire Tanker in Lithuania</w:t>
                                                      </w:r>
                                                    </w:p>
                                                    <w:p w14:paraId="1773C272" w14:textId="77777777" w:rsidR="00311EA6" w:rsidRPr="00311EA6" w:rsidRDefault="00311EA6" w:rsidP="00311EA6">
                                                      <w:r w:rsidRPr="00311EA6">
                                                        <w:t xml:space="preserve">On 9 April 2026,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Lithuanian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declined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open a pre-trial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 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soldier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Sean Gor</w:t>
                                                      </w:r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despite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detailed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complaint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submitted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Hind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Foundation.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Gor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currently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residing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in Lithuania as a student 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Kaunas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creating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clear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jurisdictional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link.</w:t>
                                                      </w:r>
                                                    </w:p>
                                                    <w:p w14:paraId="4EF74703" w14:textId="77777777" w:rsidR="00311EA6" w:rsidRPr="00311EA6" w:rsidRDefault="00311EA6" w:rsidP="00311EA6">
                                                      <w:r w:rsidRPr="00311EA6">
                                                        <w:t xml:space="preserve">He has been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identified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as a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member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"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Vampire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Empire" company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52nd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Armoured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Battalion, 401st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Armoured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Brigade,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one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of 24 suspects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linked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killing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of Hind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7F6C0F62" w14:textId="77777777" w:rsidR="00311EA6" w:rsidRPr="00311EA6" w:rsidRDefault="00311EA6" w:rsidP="00311EA6">
                                                      <w:r w:rsidRPr="00311EA6">
                                                        <w:t xml:space="preserve">The case of Hind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remains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central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us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The 5-year-old girl was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killed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on 29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January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2024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after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her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family's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vehicle was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subjected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sustained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fire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An ambulance sent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rescue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her was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also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targeted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Israeli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armored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units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were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operating 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immediate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proximity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scene. </w:t>
                                                      </w:r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same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unit has been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linked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to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attacks on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civilian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infrastructure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including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Palestine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Square, UNRWA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facilities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Al-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Shifa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Hospital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rPr>
                                                          <w:b/>
                                                          <w:bCs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14:paraId="6F9725E0" w14:textId="77777777" w:rsidR="00311EA6" w:rsidRPr="00311EA6" w:rsidRDefault="00311EA6" w:rsidP="00311EA6">
                                                      <w:proofErr w:type="spellStart"/>
                                                      <w:r w:rsidRPr="00311EA6">
                                                        <w:t>Lithuanian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authorities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cited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insufficient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direct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evidence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limitations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exercising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universal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jurisdiction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The Hind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Rajab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Foundation has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formally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appealed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emphasizing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that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pre-trial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investigation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precisely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mechanism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through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which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responsibility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established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1494E535" w14:textId="77777777" w:rsidR="00311EA6" w:rsidRPr="00311EA6" w:rsidRDefault="00311EA6" w:rsidP="00311EA6">
                                                      <w:proofErr w:type="spellStart"/>
                                                      <w:r w:rsidRPr="00311EA6">
                                                        <w:t>This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refusal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has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triggered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a public response.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growing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wave of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protests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emerging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across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Lithuania, led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students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supported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by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solidarity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movements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Their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demand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direct: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apply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law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End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2F29EC36" w14:textId="77777777" w:rsidR="00311EA6" w:rsidRPr="00311EA6" w:rsidRDefault="00311EA6" w:rsidP="00311EA6">
                                                      <w:r w:rsidRPr="00311EA6">
                                                        <w:t xml:space="preserve">Taken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together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, these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developments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form a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clear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trajectory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Legal exposure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increasing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Cases are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multiplying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. Public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pressure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intensifying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765791CE" w14:textId="77777777" w:rsidR="00311EA6" w:rsidRPr="00311EA6" w:rsidRDefault="00311EA6" w:rsidP="00311EA6">
                                                      <w:r w:rsidRPr="00311EA6">
                                                        <w:lastRenderedPageBreak/>
                                                        <w:t xml:space="preserve">The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space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for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impunity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 xml:space="preserve"> is </w:t>
                                                      </w:r>
                                                      <w:proofErr w:type="spellStart"/>
                                                      <w:r w:rsidRPr="00311EA6">
                                                        <w:t>shrinking</w:t>
                                                      </w:r>
                                                      <w:proofErr w:type="spellEnd"/>
                                                      <w:r w:rsidRPr="00311EA6">
                                                        <w:t>.</w:t>
                                                      </w:r>
                                                    </w:p>
                                                    <w:p w14:paraId="188182E6" w14:textId="77777777" w:rsidR="00311EA6" w:rsidRPr="00311EA6" w:rsidRDefault="00311EA6" w:rsidP="00311EA6"/>
                                                  </w:tc>
                                                </w:tr>
                                              </w:tbl>
                                              <w:p w14:paraId="57D94BEF" w14:textId="77777777" w:rsidR="00311EA6" w:rsidRPr="00311EA6" w:rsidRDefault="00311EA6" w:rsidP="00311EA6"/>
                                            </w:tc>
                                          </w:tr>
                                        </w:tbl>
                                        <w:p w14:paraId="1255560D" w14:textId="77777777" w:rsidR="00311EA6" w:rsidRPr="00311EA6" w:rsidRDefault="00311EA6" w:rsidP="00311EA6"/>
                                      </w:tc>
                                    </w:tr>
                                    <w:tr w:rsidR="00311EA6" w:rsidRPr="00311EA6" w14:paraId="5811195B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600" w:type="dxa"/>
                                            <w:left w:w="0" w:type="dxa"/>
                                            <w:bottom w:w="60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311EA6" w:rsidRPr="00311EA6" w14:paraId="2B6417C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343840"/>
                                                </w:tcBorders>
                                                <w:hideMark/>
                                              </w:tcPr>
                                              <w:p w14:paraId="2BF68549" w14:textId="77777777" w:rsidR="00311EA6" w:rsidRPr="00311EA6" w:rsidRDefault="00311EA6" w:rsidP="00311EA6">
                                                <w:r w:rsidRPr="00311EA6">
                                                  <w:lastRenderedPageBreak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9F0704D" w14:textId="77777777" w:rsidR="00311EA6" w:rsidRPr="00311EA6" w:rsidRDefault="00311EA6" w:rsidP="00311EA6"/>
                                      </w:tc>
                                    </w:tr>
                                  </w:tbl>
                                  <w:p w14:paraId="23069AAB" w14:textId="77777777" w:rsidR="00311EA6" w:rsidRPr="00311EA6" w:rsidRDefault="00311EA6" w:rsidP="00311EA6"/>
                                </w:tc>
                              </w:tr>
                            </w:tbl>
                            <w:p w14:paraId="6E7C4DAA" w14:textId="77777777" w:rsidR="00311EA6" w:rsidRPr="00311EA6" w:rsidRDefault="00311EA6" w:rsidP="00311EA6"/>
                          </w:tc>
                        </w:tr>
                      </w:tbl>
                      <w:p w14:paraId="24A763B8" w14:textId="77777777" w:rsidR="00311EA6" w:rsidRPr="00311EA6" w:rsidRDefault="00311EA6" w:rsidP="00311EA6"/>
                    </w:tc>
                  </w:tr>
                </w:tbl>
                <w:p w14:paraId="314263AB" w14:textId="77777777" w:rsidR="00311EA6" w:rsidRPr="00311EA6" w:rsidRDefault="00311EA6" w:rsidP="00311EA6"/>
              </w:tc>
            </w:tr>
          </w:tbl>
          <w:p w14:paraId="3C5273CA" w14:textId="77777777" w:rsidR="00311EA6" w:rsidRPr="00311EA6" w:rsidRDefault="00311EA6" w:rsidP="00311EA6"/>
        </w:tc>
      </w:tr>
    </w:tbl>
    <w:p w14:paraId="4E4B1BD4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A6"/>
    <w:rsid w:val="00311EA6"/>
    <w:rsid w:val="00A13ADC"/>
    <w:rsid w:val="00AD1744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9D65"/>
  <w15:chartTrackingRefBased/>
  <w15:docId w15:val="{1101D907-A233-4524-B7D5-0F98018F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1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1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1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1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1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1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1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1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1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1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1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1E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1E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1E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1E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1E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1E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1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1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1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1E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1E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1E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1E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1E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11EA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1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hindrajabfoundation.us12.list-manage.com/track/click?u=3062ea7ff763d1960d0768e27&amp;id=ce9cee104d&amp;e=6c17b3f50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2026-04-17T06:46:00Z</dcterms:created>
  <dcterms:modified xsi:type="dcterms:W3CDTF">2026-04-17T06:47:00Z</dcterms:modified>
</cp:coreProperties>
</file>