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F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C3D60" w:rsidRPr="005C3D60" w14:paraId="7D4DD43A" w14:textId="77777777">
        <w:tc>
          <w:tcPr>
            <w:tcW w:w="9070" w:type="dxa"/>
            <w:shd w:val="clear" w:color="auto" w:fill="EFEBEB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C3D60" w:rsidRPr="005C3D60" w14:paraId="5555D720" w14:textId="77777777">
              <w:trPr>
                <w:jc w:val="center"/>
              </w:trPr>
              <w:tc>
                <w:tcPr>
                  <w:tcW w:w="0" w:type="auto"/>
                  <w:shd w:val="clear" w:color="auto" w:fill="04383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C3D60" w:rsidRPr="005C3D60" w14:paraId="361C1A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5C3D60" w:rsidRPr="005C3D60" w14:paraId="381AF1F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5C3D60" w:rsidRPr="005C3D60" w14:paraId="43478101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C3D60" w:rsidRPr="005C3D60" w14:paraId="45AF69D9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4383F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5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5C3D60" w:rsidRPr="005C3D60" w14:paraId="410E628B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7128B0AA" w14:textId="1BF53F09" w:rsidR="005C3D60" w:rsidRPr="005C3D60" w:rsidRDefault="005C3D60" w:rsidP="005C3D60">
                                                <w:r w:rsidRPr="005C3D60">
                                                  <w:drawing>
                                                    <wp:inline distT="0" distB="0" distL="0" distR="0" wp14:anchorId="412900D0" wp14:editId="644AEFAA">
                                                      <wp:extent cx="3143250" cy="1047750"/>
                                                      <wp:effectExtent l="0" t="0" r="0" b="0"/>
                                                      <wp:docPr id="152458521" name="Afbeelding 2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32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FE740D7" w14:textId="77777777" w:rsidR="005C3D60" w:rsidRPr="005C3D60" w:rsidRDefault="005C3D60" w:rsidP="005C3D60"/>
                                      </w:tc>
                                    </w:tr>
                                  </w:tbl>
                                  <w:p w14:paraId="757C7954" w14:textId="77777777" w:rsidR="005C3D60" w:rsidRPr="005C3D60" w:rsidRDefault="005C3D60" w:rsidP="005C3D60"/>
                                </w:tc>
                              </w:tr>
                            </w:tbl>
                            <w:p w14:paraId="292CD603" w14:textId="77777777" w:rsidR="005C3D60" w:rsidRPr="005C3D60" w:rsidRDefault="005C3D60" w:rsidP="005C3D60"/>
                          </w:tc>
                        </w:tr>
                      </w:tbl>
                      <w:p w14:paraId="7CC1E932" w14:textId="77777777" w:rsidR="005C3D60" w:rsidRPr="005C3D60" w:rsidRDefault="005C3D60" w:rsidP="005C3D60"/>
                    </w:tc>
                  </w:tr>
                </w:tbl>
                <w:p w14:paraId="6F240EBA" w14:textId="77777777" w:rsidR="005C3D60" w:rsidRPr="005C3D60" w:rsidRDefault="005C3D60" w:rsidP="005C3D60"/>
              </w:tc>
            </w:tr>
            <w:tr w:rsidR="005C3D60" w:rsidRPr="005C3D60" w14:paraId="612D8822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C3D60" w:rsidRPr="005C3D60" w14:paraId="517132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5C3D60" w:rsidRPr="005C3D60" w14:paraId="65072CF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5C3D60" w:rsidRPr="005C3D60" w14:paraId="21041020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C3D60" w:rsidRPr="005C3D60" w14:paraId="7CC529D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FEBEB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C3D60" w:rsidRPr="005C3D60" w14:paraId="5B0645CB" w14:textId="7777777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592AD3A5" w14:textId="77777777" w:rsidR="005C3D60" w:rsidRPr="005C3D60" w:rsidRDefault="005C3D60" w:rsidP="005C3D60"/>
                                            </w:tc>
                                          </w:tr>
                                        </w:tbl>
                                        <w:p w14:paraId="1AB06952" w14:textId="77777777" w:rsidR="005C3D60" w:rsidRPr="005C3D60" w:rsidRDefault="005C3D60" w:rsidP="005C3D60"/>
                                      </w:tc>
                                    </w:tr>
                                    <w:tr w:rsidR="005C3D60" w:rsidRPr="005C3D60" w14:paraId="09EDB4B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C3D60" w:rsidRPr="005C3D60" w14:paraId="676BC8D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5C3D60" w:rsidRPr="005C3D60" w14:paraId="5744751F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2E2AF50" w14:textId="77777777" w:rsidR="005C3D60" w:rsidRPr="005C3D60" w:rsidRDefault="005C3D60" w:rsidP="005C3D60">
                                                      <w:r w:rsidRPr="005C3D60">
                                                        <w:t>Brussels – 28/03/2026</w:t>
                                                      </w:r>
                                                    </w:p>
                                                    <w:p w14:paraId="3D6C6F4C" w14:textId="77777777" w:rsidR="005C3D60" w:rsidRPr="005C3D60" w:rsidRDefault="005C3D60" w:rsidP="005C3D60"/>
                                                    <w:p w14:paraId="03F68B48" w14:textId="77777777" w:rsidR="005C3D60" w:rsidRPr="005C3D60" w:rsidRDefault="005C3D60" w:rsidP="005C3D60"/>
                                                    <w:p w14:paraId="244A0660" w14:textId="77777777" w:rsidR="005C3D60" w:rsidRPr="005C3D60" w:rsidRDefault="005C3D60" w:rsidP="005C3D60">
                                                      <w:r w:rsidRPr="005C3D60">
                                                        <w:t xml:space="preserve">HRF has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in Italy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Winter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war crimes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committed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in Gaza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incitement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genocide. In recent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videos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he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only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doubles down on calls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destroy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Gaza, but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openly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boasts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about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Rafah "Black Friday" massacre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issues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death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threats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HRF's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General Director. The question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unavoidable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: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will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Italy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uphold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act, or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allow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him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speak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March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31?</w:t>
                                                      </w:r>
                                                    </w:p>
                                                    <w:p w14:paraId="46E353B6" w14:textId="77777777" w:rsidR="005C3D60" w:rsidRPr="005C3D60" w:rsidRDefault="005C3D60" w:rsidP="005C3D60"/>
                                                    <w:p w14:paraId="1A0F47DC" w14:textId="77777777" w:rsidR="005C3D60" w:rsidRPr="005C3D60" w:rsidRDefault="005C3D60" w:rsidP="005C3D60"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More details below.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84E1AEC" w14:textId="77777777" w:rsidR="005C3D60" w:rsidRPr="005C3D60" w:rsidRDefault="005C3D60" w:rsidP="005C3D60"/>
                                            </w:tc>
                                          </w:tr>
                                        </w:tbl>
                                        <w:p w14:paraId="2D03E826" w14:textId="77777777" w:rsidR="005C3D60" w:rsidRPr="005C3D60" w:rsidRDefault="005C3D60" w:rsidP="005C3D60"/>
                                      </w:tc>
                                    </w:tr>
                                    <w:tr w:rsidR="005C3D60" w:rsidRPr="005C3D60" w14:paraId="794A0815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C3D60" w:rsidRPr="005C3D60" w14:paraId="7052B594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F3A0805" w14:textId="77777777" w:rsidR="005C3D60" w:rsidRPr="005C3D60" w:rsidRDefault="005C3D60" w:rsidP="005C3D60"/>
                                            </w:tc>
                                          </w:tr>
                                        </w:tbl>
                                        <w:p w14:paraId="300CE215" w14:textId="77777777" w:rsidR="005C3D60" w:rsidRPr="005C3D60" w:rsidRDefault="005C3D60" w:rsidP="005C3D60"/>
                                      </w:tc>
                                    </w:tr>
                                    <w:tr w:rsidR="005C3D60" w:rsidRPr="005C3D60" w14:paraId="29781BE7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67"/>
                                          </w:tblGrid>
                                          <w:tr w:rsidR="005C3D60" w:rsidRPr="005C3D60" w14:paraId="2E882D9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960"/>
                                                <w:hideMark/>
                                              </w:tcPr>
                                              <w:p w14:paraId="28250045" w14:textId="77777777" w:rsidR="005C3D60" w:rsidRPr="005C3D60" w:rsidRDefault="005C3D60" w:rsidP="005C3D60">
                                                <w:hyperlink r:id="rId5" w:tgtFrame="_blank" w:history="1">
                                                  <w:r w:rsidRPr="005C3D60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SUPPORT OUR WORK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94A8BA5" w14:textId="77777777" w:rsidR="005C3D60" w:rsidRPr="005C3D60" w:rsidRDefault="005C3D60" w:rsidP="005C3D60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5C3D60" w:rsidRPr="005C3D60" w14:paraId="4325A736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BDC07D6" w14:textId="77777777" w:rsidR="005C3D60" w:rsidRPr="005C3D60" w:rsidRDefault="005C3D60" w:rsidP="005C3D60"/>
                                            </w:tc>
                                          </w:tr>
                                        </w:tbl>
                                        <w:p w14:paraId="168C8FDF" w14:textId="77777777" w:rsidR="005C3D60" w:rsidRPr="005C3D60" w:rsidRDefault="005C3D60" w:rsidP="005C3D60"/>
                                      </w:tc>
                                    </w:tr>
                                    <w:tr w:rsidR="005C3D60" w:rsidRPr="005C3D60" w14:paraId="09D8D10B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C3D60" w:rsidRPr="005C3D60" w14:paraId="67820FD2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FD3481A" w14:textId="77777777" w:rsidR="005C3D60" w:rsidRPr="005C3D60" w:rsidRDefault="005C3D60" w:rsidP="005C3D60"/>
                                            </w:tc>
                                          </w:tr>
                                        </w:tbl>
                                        <w:p w14:paraId="03A5C73B" w14:textId="77777777" w:rsidR="005C3D60" w:rsidRPr="005C3D60" w:rsidRDefault="005C3D60" w:rsidP="005C3D60"/>
                                      </w:tc>
                                    </w:tr>
                                    <w:tr w:rsidR="005C3D60" w:rsidRPr="005C3D60" w14:paraId="5D9571F5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C3D60" w:rsidRPr="005C3D60" w14:paraId="433501F0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5C3D60" w:rsidRPr="005C3D60" w14:paraId="4CF7A2EC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DD845B9" w14:textId="77777777" w:rsidR="005C3D60" w:rsidRPr="005C3D60" w:rsidRDefault="005C3D60" w:rsidP="005C3D60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He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Boasts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of Massacre. He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Threatens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Us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 Will Italy Act?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33213F8" w14:textId="77777777" w:rsidR="005C3D60" w:rsidRPr="005C3D60" w:rsidRDefault="005C3D60" w:rsidP="005C3D60"/>
                                            </w:tc>
                                          </w:tr>
                                        </w:tbl>
                                        <w:p w14:paraId="63981CCB" w14:textId="77777777" w:rsidR="005C3D60" w:rsidRPr="005C3D60" w:rsidRDefault="005C3D60" w:rsidP="005C3D60"/>
                                      </w:tc>
                                    </w:tr>
                                    <w:tr w:rsidR="005C3D60" w:rsidRPr="005C3D60" w14:paraId="56ED991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0"/>
                                          </w:tblGrid>
                                          <w:tr w:rsidR="005C3D60" w:rsidRPr="005C3D60" w14:paraId="79508B19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4941B884" w14:textId="2B6A5CD4" w:rsidR="005C3D60" w:rsidRPr="005C3D60" w:rsidRDefault="005C3D60" w:rsidP="005C3D60">
                                                <w:r w:rsidRPr="005C3D60">
                                                  <w:lastRenderedPageBreak/>
                                                  <w:drawing>
                                                    <wp:inline distT="0" distB="0" distL="0" distR="0" wp14:anchorId="5D110639" wp14:editId="50175D7D">
                                                      <wp:extent cx="5760720" cy="3599180"/>
                                                      <wp:effectExtent l="0" t="0" r="0" b="1270"/>
                                                      <wp:docPr id="66807132" name="Afbeelding 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760720" cy="35991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1F5348C" w14:textId="77777777" w:rsidR="005C3D60" w:rsidRPr="005C3D60" w:rsidRDefault="005C3D60" w:rsidP="005C3D60"/>
                                      </w:tc>
                                    </w:tr>
                                    <w:tr w:rsidR="005C3D60" w:rsidRPr="005C3D60" w14:paraId="4F919B3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C3D60" w:rsidRPr="005C3D60" w14:paraId="03EDC006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5C3D60" w:rsidRPr="005C3D60" w14:paraId="3789E24A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4167346" w14:textId="77777777" w:rsidR="005C3D60" w:rsidRPr="005C3D60" w:rsidRDefault="005C3D60" w:rsidP="005C3D60"/>
                                                    <w:p w14:paraId="1C512A8F" w14:textId="77777777" w:rsidR="005C3D60" w:rsidRPr="005C3D60" w:rsidRDefault="005C3D60" w:rsidP="005C3D60"/>
                                                    <w:p w14:paraId="70DA799A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Dear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friends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,</w:t>
                                                      </w:r>
                                                    </w:p>
                                                    <w:p w14:paraId="0877F7FE" w14:textId="77777777" w:rsidR="005C3D60" w:rsidRPr="005C3D60" w:rsidRDefault="005C3D60" w:rsidP="005C3D60">
                                                      <w:r w:rsidRPr="005C3D60">
                                                        <w:t xml:space="preserve">Last Week,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Hind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Foundation (HRF)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in Italy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former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commander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Winter.</w:t>
                                                      </w:r>
                                                    </w:p>
                                                    <w:p w14:paraId="7D71863D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abstract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step. It is a direct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confrontation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0737D07E" w14:textId="77777777" w:rsidR="005C3D60" w:rsidRPr="005C3D60" w:rsidRDefault="005C3D60" w:rsidP="005C3D60">
                                                      <w:r w:rsidRPr="005C3D60">
                                                        <w:t xml:space="preserve">Winter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only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accused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war crimes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committed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during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2014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assault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on Gaza. He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also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today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actively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inciting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Gaza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eradication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its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people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03462ED8" w14:textId="77777777" w:rsidR="005C3D60" w:rsidRPr="005C3D60" w:rsidRDefault="005C3D60" w:rsidP="005C3D60">
                                                      <w:r w:rsidRPr="005C3D60">
                                                        <w:t xml:space="preserve">At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center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our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lies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Rafah "Black Friday" massacre of 1 August 2014.</w:t>
                                                      </w:r>
                                                    </w:p>
                                                    <w:p w14:paraId="367FC95E" w14:textId="77777777" w:rsidR="005C3D60" w:rsidRPr="005C3D60" w:rsidRDefault="005C3D60" w:rsidP="005C3D60">
                                                      <w:r w:rsidRPr="005C3D60">
                                                        <w:t xml:space="preserve">Under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Winter's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command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Hannibal Directive was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activated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What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followed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was 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sustained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indiscriminate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assault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on 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densely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populated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area: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massive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artillery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fire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airstrikes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attacks on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civilians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attempting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flee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. Up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200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civilians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were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killed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just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three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days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Hospitals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ambulances, 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mosque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UN school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were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all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targeted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5F5CFE21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more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than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decade later,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Winter does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deny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these crimes.</w:t>
                                                      </w:r>
                                                    </w:p>
                                                    <w:p w14:paraId="0D8E26D0" w14:textId="77777777" w:rsidR="005C3D60" w:rsidRPr="005C3D60" w:rsidRDefault="005C3D60" w:rsidP="005C3D60">
                                                      <w:r w:rsidRPr="005C3D60">
                                                        <w:t xml:space="preserve">He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celebrates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them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21739F7A" w14:textId="77777777" w:rsidR="005C3D60" w:rsidRPr="005C3D60" w:rsidRDefault="005C3D60" w:rsidP="005C3D60">
                                                      <w:r w:rsidRPr="005C3D60">
                                                        <w:t xml:space="preserve">In a recent video,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published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after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our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was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he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explicitly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stated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he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proud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what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happened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in Rafah on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day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6BB9E1B6" w14:textId="77777777" w:rsidR="005C3D60" w:rsidRPr="005C3D60" w:rsidRDefault="005C3D60" w:rsidP="005C3D60">
                                                      <w:r w:rsidRPr="005C3D60">
                                                        <w:lastRenderedPageBreak/>
                                                        <w:t xml:space="preserve">At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same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time, he has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doubled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down on his calls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complete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Gaza —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advocating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forced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displacement,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starvation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erasure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distinction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between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civilians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combatants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5514ED84" w14:textId="77777777" w:rsidR="005C3D60" w:rsidRPr="005C3D60" w:rsidRDefault="005C3D60" w:rsidP="005C3D60">
                                                      <w:r w:rsidRPr="005C3D60">
                                                        <w:t xml:space="preserve">Even more, in a separate video, he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issued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direct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death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threats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our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General Director,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Dyab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Abou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Jahjah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1EE8B819" w14:textId="77777777" w:rsidR="005C3D60" w:rsidRPr="005C3D60" w:rsidRDefault="005C3D60" w:rsidP="005C3D60">
                                                      <w:r w:rsidRPr="005C3D60">
                                                        <w:t xml:space="preserve">Let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us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be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clear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60EB5412" w14:textId="77777777" w:rsidR="005C3D60" w:rsidRPr="005C3D60" w:rsidRDefault="005C3D60" w:rsidP="005C3D60">
                                                      <w:r w:rsidRPr="005C3D60">
                                                        <w:t xml:space="preserve">We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will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be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intimidated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3F053132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If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anything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these statements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confirm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necessity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our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work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does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end crimes —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fuels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them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. It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transforms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perpetrators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yesterday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inciters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today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453D3244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Winter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expected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travel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Italy next week,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where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he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scheduled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speak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publicly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March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31.</w:t>
                                                      </w:r>
                                                    </w:p>
                                                    <w:p w14:paraId="57BE3225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raises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fundamental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question:</w:t>
                                                      </w:r>
                                                    </w:p>
                                                    <w:p w14:paraId="36968E4F" w14:textId="77777777" w:rsidR="005C3D60" w:rsidRPr="005C3D60" w:rsidRDefault="005C3D60" w:rsidP="005C3D60">
                                                      <w:r w:rsidRPr="005C3D60">
                                                        <w:t xml:space="preserve">Will he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be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allowed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walk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onto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public stage in Europe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speak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in full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—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after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boasting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about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massacre,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calling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genocide,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issuing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threats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?</w:t>
                                                      </w:r>
                                                    </w:p>
                                                    <w:p w14:paraId="48DE3082" w14:textId="77777777" w:rsidR="005C3D60" w:rsidRPr="005C3D60" w:rsidRDefault="005C3D60" w:rsidP="005C3D60">
                                                      <w:r w:rsidRPr="005C3D60">
                                                        <w:t xml:space="preserve">Or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will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Italian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uphold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?</w:t>
                                                      </w:r>
                                                    </w:p>
                                                    <w:p w14:paraId="0EF7D3D4" w14:textId="77777777" w:rsidR="005C3D60" w:rsidRPr="005C3D60" w:rsidRDefault="005C3D60" w:rsidP="005C3D60">
                                                      <w:r w:rsidRPr="005C3D60">
                                                        <w:t xml:space="preserve">Under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Italy's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own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obligations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are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required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investigate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prosecute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individuals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suspected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war crimes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when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are present on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their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territory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5486355F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about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geopolitics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3BBA50AF" w14:textId="77777777" w:rsidR="005C3D60" w:rsidRPr="005C3D60" w:rsidRDefault="005C3D60" w:rsidP="005C3D60">
                                                      <w:r w:rsidRPr="005C3D60">
                                                        <w:t xml:space="preserve">It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about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rule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75B614E0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about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whether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Europe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remains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a safe haven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those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who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commit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justify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promote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crimes.</w:t>
                                                      </w:r>
                                                    </w:p>
                                                    <w:p w14:paraId="654BC444" w14:textId="77777777" w:rsidR="005C3D60" w:rsidRPr="005C3D60" w:rsidRDefault="005C3D60" w:rsidP="005C3D60">
                                                      <w:r w:rsidRPr="005C3D60">
                                                        <w:t xml:space="preserve">We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will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continue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pursue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case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determination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26B55E50" w14:textId="77777777" w:rsidR="005C3D60" w:rsidRPr="005C3D60" w:rsidRDefault="005C3D60" w:rsidP="005C3D60"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we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count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you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— as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always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—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stand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us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amplify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message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ensure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justice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silenced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.</w:t>
                                                      </w:r>
                                                    </w:p>
                                                    <w:p w14:paraId="16EFF556" w14:textId="77777777" w:rsidR="005C3D60" w:rsidRPr="005C3D60" w:rsidRDefault="005C3D60" w:rsidP="005C3D60">
                                                      <w:r w:rsidRPr="005C3D60">
                                                        <w:t xml:space="preserve">In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solidarity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>,</w:t>
                                                      </w:r>
                                                      <w:r w:rsidRPr="005C3D60">
                                                        <w:br/>
                                                        <w:t xml:space="preserve">The Hind </w:t>
                                                      </w:r>
                                                      <w:proofErr w:type="spellStart"/>
                                                      <w:r w:rsidRPr="005C3D60"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5C3D60">
                                                        <w:t xml:space="preserve"> Foundation</w:t>
                                                      </w:r>
                                                    </w:p>
                                                    <w:p w14:paraId="0EA3A8A8" w14:textId="77777777" w:rsidR="005C3D60" w:rsidRPr="005C3D60" w:rsidRDefault="005C3D60" w:rsidP="005C3D60"/>
                                                  </w:tc>
                                                </w:tr>
                                              </w:tbl>
                                              <w:p w14:paraId="3FBAFFA2" w14:textId="77777777" w:rsidR="005C3D60" w:rsidRPr="005C3D60" w:rsidRDefault="005C3D60" w:rsidP="005C3D60"/>
                                            </w:tc>
                                          </w:tr>
                                        </w:tbl>
                                        <w:p w14:paraId="52EC554F" w14:textId="77777777" w:rsidR="005C3D60" w:rsidRPr="005C3D60" w:rsidRDefault="005C3D60" w:rsidP="005C3D60"/>
                                      </w:tc>
                                    </w:tr>
                                  </w:tbl>
                                  <w:p w14:paraId="1FFBFC20" w14:textId="77777777" w:rsidR="005C3D60" w:rsidRPr="005C3D60" w:rsidRDefault="005C3D60" w:rsidP="005C3D60"/>
                                </w:tc>
                              </w:tr>
                            </w:tbl>
                            <w:p w14:paraId="33EB4D74" w14:textId="77777777" w:rsidR="005C3D60" w:rsidRPr="005C3D60" w:rsidRDefault="005C3D60" w:rsidP="005C3D60"/>
                          </w:tc>
                        </w:tr>
                      </w:tbl>
                      <w:p w14:paraId="5F54C0B1" w14:textId="77777777" w:rsidR="005C3D60" w:rsidRPr="005C3D60" w:rsidRDefault="005C3D60" w:rsidP="005C3D60"/>
                    </w:tc>
                  </w:tr>
                </w:tbl>
                <w:p w14:paraId="7EB0D6CE" w14:textId="77777777" w:rsidR="005C3D60" w:rsidRPr="005C3D60" w:rsidRDefault="005C3D60" w:rsidP="005C3D60"/>
              </w:tc>
            </w:tr>
          </w:tbl>
          <w:p w14:paraId="2ACC5E63" w14:textId="77777777" w:rsidR="005C3D60" w:rsidRPr="005C3D60" w:rsidRDefault="005C3D60" w:rsidP="005C3D60"/>
        </w:tc>
      </w:tr>
    </w:tbl>
    <w:p w14:paraId="7DB83C7C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60"/>
    <w:rsid w:val="005C3D60"/>
    <w:rsid w:val="00A00DB4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3438"/>
  <w15:chartTrackingRefBased/>
  <w15:docId w15:val="{C56D9856-080D-4526-8376-C31E280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3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3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3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3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3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3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3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3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3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3D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3D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3D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3D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3D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3D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3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3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3D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3D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3D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3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3D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3D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C3D6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3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hindrajabfoundation.us12.list-manage.com/track/click?u=3062ea7ff763d1960d0768e27&amp;id=a66a06691f&amp;e=6c17b3f50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2026-03-29T15:36:00Z</dcterms:created>
  <dcterms:modified xsi:type="dcterms:W3CDTF">2026-03-29T15:37:00Z</dcterms:modified>
</cp:coreProperties>
</file>