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B825DE" w:rsidRPr="00B825DE" w14:paraId="368E41FF" w14:textId="77777777">
        <w:tc>
          <w:tcPr>
            <w:tcW w:w="907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B825DE" w:rsidRPr="00B825DE" w14:paraId="13666025"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B825DE" w:rsidRPr="00B825DE" w14:paraId="7B5FEBE8"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B825DE" w:rsidRPr="00B825DE" w14:paraId="659F6E7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B825DE" w:rsidRPr="00B825DE" w14:paraId="3F70A8A6"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B825DE" w:rsidRPr="00B825DE" w14:paraId="36D4551E" w14:textId="77777777">
                                      <w:tc>
                                        <w:tcPr>
                                          <w:tcW w:w="0" w:type="auto"/>
                                          <w:tcBorders>
                                            <w:top w:val="nil"/>
                                            <w:left w:val="nil"/>
                                            <w:bottom w:val="nil"/>
                                            <w:right w:val="nil"/>
                                          </w:tcBorders>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B825DE" w:rsidRPr="00B825DE" w14:paraId="3C3BBC79" w14:textId="77777777">
                                            <w:trPr>
                                              <w:tblCellSpacing w:w="0" w:type="dxa"/>
                                            </w:trPr>
                                            <w:tc>
                                              <w:tcPr>
                                                <w:tcW w:w="0" w:type="auto"/>
                                                <w:tcBorders>
                                                  <w:top w:val="nil"/>
                                                  <w:left w:val="nil"/>
                                                  <w:bottom w:val="nil"/>
                                                  <w:right w:val="nil"/>
                                                </w:tcBorders>
                                                <w:hideMark/>
                                              </w:tcPr>
                                              <w:p w14:paraId="41502F84" w14:textId="16E91188" w:rsidR="00B825DE" w:rsidRPr="00B825DE" w:rsidRDefault="00B825DE" w:rsidP="00B825DE">
                                                <w:r w:rsidRPr="00B825DE">
                                                  <w:drawing>
                                                    <wp:inline distT="0" distB="0" distL="0" distR="0" wp14:anchorId="000D80F2" wp14:editId="14873128">
                                                      <wp:extent cx="3143250" cy="1047750"/>
                                                      <wp:effectExtent l="0" t="0" r="0" b="0"/>
                                                      <wp:docPr id="18520504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5ABA4420" w14:textId="77777777" w:rsidR="00B825DE" w:rsidRPr="00B825DE" w:rsidRDefault="00B825DE" w:rsidP="00B825DE"/>
                                      </w:tc>
                                    </w:tr>
                                  </w:tbl>
                                  <w:p w14:paraId="0AD24368" w14:textId="77777777" w:rsidR="00B825DE" w:rsidRPr="00B825DE" w:rsidRDefault="00B825DE" w:rsidP="00B825DE"/>
                                </w:tc>
                              </w:tr>
                            </w:tbl>
                            <w:p w14:paraId="6002C72A" w14:textId="77777777" w:rsidR="00B825DE" w:rsidRPr="00B825DE" w:rsidRDefault="00B825DE" w:rsidP="00B825DE"/>
                          </w:tc>
                        </w:tr>
                      </w:tbl>
                      <w:p w14:paraId="305D039A" w14:textId="77777777" w:rsidR="00B825DE" w:rsidRPr="00B825DE" w:rsidRDefault="00B825DE" w:rsidP="00B825DE"/>
                    </w:tc>
                  </w:tr>
                </w:tbl>
                <w:p w14:paraId="29EA0FA1" w14:textId="77777777" w:rsidR="00B825DE" w:rsidRPr="00B825DE" w:rsidRDefault="00B825DE" w:rsidP="00B825DE"/>
              </w:tc>
            </w:tr>
            <w:tr w:rsidR="00B825DE" w:rsidRPr="00B825DE" w14:paraId="389DE4D3"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900"/>
                  </w:tblGrid>
                  <w:tr w:rsidR="00B825DE" w:rsidRPr="00B825DE" w14:paraId="4EA4B47A"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B825DE" w:rsidRPr="00B825DE" w14:paraId="4E083B7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B825DE" w:rsidRPr="00B825DE" w14:paraId="55C9219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B825DE" w:rsidRPr="00B825DE" w14:paraId="52DC4B55" w14:textId="77777777">
                                      <w:tc>
                                        <w:tcPr>
                                          <w:tcW w:w="0" w:type="auto"/>
                                          <w:tcBorders>
                                            <w:top w:val="nil"/>
                                            <w:left w:val="nil"/>
                                            <w:bottom w:val="nil"/>
                                            <w:right w:val="nil"/>
                                          </w:tcBorders>
                                          <w:shd w:val="clear" w:color="auto" w:fill="EFEBEB"/>
                                          <w:hideMark/>
                                        </w:tcPr>
                                        <w:tbl>
                                          <w:tblPr>
                                            <w:tblW w:w="5000" w:type="pct"/>
                                            <w:tblCellMar>
                                              <w:left w:w="0" w:type="dxa"/>
                                              <w:right w:w="0" w:type="dxa"/>
                                            </w:tblCellMar>
                                            <w:tblLook w:val="04A0" w:firstRow="1" w:lastRow="0" w:firstColumn="1" w:lastColumn="0" w:noHBand="0" w:noVBand="1"/>
                                          </w:tblPr>
                                          <w:tblGrid>
                                            <w:gridCol w:w="9900"/>
                                          </w:tblGrid>
                                          <w:tr w:rsidR="00B825DE" w:rsidRPr="00B825DE" w14:paraId="153A9B13" w14:textId="77777777">
                                            <w:trPr>
                                              <w:trHeight w:val="300"/>
                                            </w:trPr>
                                            <w:tc>
                                              <w:tcPr>
                                                <w:tcW w:w="0" w:type="auto"/>
                                                <w:hideMark/>
                                              </w:tcPr>
                                              <w:p w14:paraId="598317F3" w14:textId="77777777" w:rsidR="00B825DE" w:rsidRPr="00B825DE" w:rsidRDefault="00B825DE" w:rsidP="00B825DE"/>
                                            </w:tc>
                                          </w:tr>
                                        </w:tbl>
                                        <w:p w14:paraId="045BDA8F" w14:textId="77777777" w:rsidR="00B825DE" w:rsidRPr="00B825DE" w:rsidRDefault="00B825DE" w:rsidP="00B825DE"/>
                                      </w:tc>
                                    </w:tr>
                                    <w:tr w:rsidR="00B825DE" w:rsidRPr="00B825DE" w14:paraId="24AA746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B825DE" w:rsidRPr="00B825DE" w14:paraId="368B030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B825DE" w:rsidRPr="00B825DE" w14:paraId="104D2ED5" w14:textId="77777777">
                                                  <w:trPr>
                                                    <w:tblCellSpacing w:w="15" w:type="dxa"/>
                                                  </w:trPr>
                                                  <w:tc>
                                                    <w:tcPr>
                                                      <w:tcW w:w="0" w:type="auto"/>
                                                      <w:tcMar>
                                                        <w:top w:w="180" w:type="dxa"/>
                                                        <w:left w:w="360" w:type="dxa"/>
                                                        <w:bottom w:w="180" w:type="dxa"/>
                                                        <w:right w:w="360" w:type="dxa"/>
                                                      </w:tcMar>
                                                      <w:vAlign w:val="center"/>
                                                      <w:hideMark/>
                                                    </w:tcPr>
                                                    <w:p w14:paraId="6842DC3C" w14:textId="77777777" w:rsidR="00B825DE" w:rsidRPr="00B825DE" w:rsidRDefault="00B825DE" w:rsidP="00B825DE"/>
                                                    <w:p w14:paraId="6807DA43" w14:textId="77777777" w:rsidR="00B825DE" w:rsidRPr="00B825DE" w:rsidRDefault="00B825DE" w:rsidP="00B825DE">
                                                      <w:pPr>
                                                        <w:rPr>
                                                          <w:b/>
                                                          <w:bCs/>
                                                        </w:rPr>
                                                      </w:pPr>
                                                      <w:r w:rsidRPr="00B825DE">
                                                        <w:rPr>
                                                          <w:b/>
                                                          <w:bCs/>
                                                        </w:rPr>
                                                        <w:t>From India to Poland to New York: HRF Expands the Global Pursuit of Accountability</w:t>
                                                      </w:r>
                                                    </w:p>
                                                  </w:tc>
                                                </w:tr>
                                              </w:tbl>
                                              <w:p w14:paraId="7C0A69D5" w14:textId="77777777" w:rsidR="00B825DE" w:rsidRPr="00B825DE" w:rsidRDefault="00B825DE" w:rsidP="00B825DE"/>
                                            </w:tc>
                                          </w:tr>
                                        </w:tbl>
                                        <w:p w14:paraId="0DFFAD5D" w14:textId="77777777" w:rsidR="00B825DE" w:rsidRPr="00B825DE" w:rsidRDefault="00B825DE" w:rsidP="00B825DE"/>
                                      </w:tc>
                                    </w:tr>
                                    <w:tr w:rsidR="00B825DE" w:rsidRPr="00B825DE" w14:paraId="616A60A7"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180"/>
                                          </w:tblGrid>
                                          <w:tr w:rsidR="00B825DE" w:rsidRPr="00B825DE" w14:paraId="478925F6" w14:textId="77777777">
                                            <w:trPr>
                                              <w:tblCellSpacing w:w="0" w:type="dxa"/>
                                              <w:jc w:val="center"/>
                                            </w:trPr>
                                            <w:tc>
                                              <w:tcPr>
                                                <w:tcW w:w="0" w:type="auto"/>
                                                <w:tcBorders>
                                                  <w:top w:val="nil"/>
                                                  <w:left w:val="nil"/>
                                                  <w:bottom w:val="nil"/>
                                                  <w:right w:val="nil"/>
                                                </w:tcBorders>
                                                <w:hideMark/>
                                              </w:tcPr>
                                              <w:p w14:paraId="3A401597" w14:textId="526A6D27" w:rsidR="00B825DE" w:rsidRPr="00B825DE" w:rsidRDefault="00B825DE" w:rsidP="00B825DE">
                                                <w:r w:rsidRPr="00B825DE">
                                                  <w:drawing>
                                                    <wp:inline distT="0" distB="0" distL="0" distR="0" wp14:anchorId="21186E67" wp14:editId="10BF4358">
                                                      <wp:extent cx="5760720" cy="2880360"/>
                                                      <wp:effectExtent l="0" t="0" r="0" b="0"/>
                                                      <wp:docPr id="3485146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tc>
                                          </w:tr>
                                        </w:tbl>
                                        <w:p w14:paraId="73821B9E" w14:textId="77777777" w:rsidR="00B825DE" w:rsidRPr="00B825DE" w:rsidRDefault="00B825DE" w:rsidP="00B825DE"/>
                                      </w:tc>
                                    </w:tr>
                                    <w:tr w:rsidR="00B825DE" w:rsidRPr="00B825DE" w14:paraId="02AF7A2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B825DE" w:rsidRPr="00B825DE" w14:paraId="4372780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B825DE" w:rsidRPr="00B825DE" w14:paraId="1B609A37" w14:textId="77777777">
                                                  <w:trPr>
                                                    <w:tblCellSpacing w:w="15" w:type="dxa"/>
                                                  </w:trPr>
                                                  <w:tc>
                                                    <w:tcPr>
                                                      <w:tcW w:w="0" w:type="auto"/>
                                                      <w:tcMar>
                                                        <w:top w:w="180" w:type="dxa"/>
                                                        <w:left w:w="360" w:type="dxa"/>
                                                        <w:bottom w:w="180" w:type="dxa"/>
                                                        <w:right w:w="360" w:type="dxa"/>
                                                      </w:tcMar>
                                                      <w:vAlign w:val="center"/>
                                                      <w:hideMark/>
                                                    </w:tcPr>
                                                    <w:p w14:paraId="490AC201" w14:textId="77777777" w:rsidR="00B825DE" w:rsidRPr="00B825DE" w:rsidRDefault="00B825DE" w:rsidP="00B825DE"/>
                                                    <w:p w14:paraId="3CC18A50" w14:textId="77777777" w:rsidR="00B825DE" w:rsidRPr="00B825DE" w:rsidRDefault="00B825DE" w:rsidP="00B825DE">
                                                      <w:r w:rsidRPr="00B825DE">
                                                        <w:t>In recent days, </w:t>
                                                      </w:r>
                                                      <w:r w:rsidRPr="00B825DE">
                                                        <w:rPr>
                                                          <w:b/>
                                                          <w:bCs/>
                                                        </w:rPr>
                                                        <w:t>the Hind Rajab Foundation (HRF)</w:t>
                                                      </w:r>
                                                      <w:r w:rsidRPr="00B825DE">
                                                        <w:t> has launched a new series of legal and advocacy actions spanning three continents, further expanding the global effort to hold perpetrators of war crimes accountable. In </w:t>
                                                      </w:r>
                                                      <w:r w:rsidRPr="00B825DE">
                                                        <w:rPr>
                                                          <w:b/>
                                                          <w:bCs/>
                                                        </w:rPr>
                                                        <w:t>India</w:t>
                                                      </w:r>
                                                      <w:r w:rsidRPr="00B825DE">
                                                        <w:t>, HRF has called for the immediate arrest of Israeli reservist </w:t>
                                                      </w:r>
                                                      <w:r w:rsidRPr="00B825DE">
                                                        <w:rPr>
                                                          <w:b/>
                                                          <w:bCs/>
                                                        </w:rPr>
                                                        <w:t>Eitan Gilboa</w:t>
                                                      </w:r>
                                                      <w:r w:rsidRPr="00B825DE">
                                                        <w:t>, currently present in the country despite serious allegations linked to crimes committed in Gaza. In </w:t>
                                                      </w:r>
                                                      <w:r w:rsidRPr="00B825DE">
                                                        <w:rPr>
                                                          <w:b/>
                                                          <w:bCs/>
                                                        </w:rPr>
                                                        <w:t>New York</w:t>
                                                      </w:r>
                                                      <w:r w:rsidRPr="00B825DE">
                                                        <w:t>, HRF has demanded accountability for former senior Israeli Air Force commanders scheduled to appear at a Jerusalem Post conference, highlighting their alleged responsibility for devastating aerial campaigns against civilians. Meanwhile, in </w:t>
                                                      </w:r>
                                                      <w:r w:rsidRPr="00B825DE">
                                                        <w:rPr>
                                                          <w:b/>
                                                          <w:bCs/>
                                                        </w:rPr>
                                                        <w:t>Poland</w:t>
                                                      </w:r>
                                                      <w:r w:rsidRPr="00B825DE">
                                                        <w:t>, HRF has urgently requested the arrest of </w:t>
                                                      </w:r>
                                                      <w:r w:rsidRPr="00B825DE">
                                                        <w:rPr>
                                                          <w:b/>
                                                          <w:bCs/>
                                                        </w:rPr>
                                                        <w:t>Jonathan Barkat</w:t>
                                                      </w:r>
                                                      <w:r w:rsidRPr="00B825DE">
                                                        <w:t>, accused of war crimes, crimes against humanity, and genocide in Gaza.</w:t>
                                                      </w:r>
                                                    </w:p>
                                                    <w:p w14:paraId="67E3F2C1" w14:textId="77777777" w:rsidR="00B825DE" w:rsidRPr="00B825DE" w:rsidRDefault="00B825DE" w:rsidP="00B825DE"/>
                                                    <w:p w14:paraId="2EE4D232" w14:textId="77777777" w:rsidR="00B825DE" w:rsidRPr="00B825DE" w:rsidRDefault="00B825DE" w:rsidP="00B825DE">
                                                      <w:r w:rsidRPr="00B825DE">
                                                        <w:rPr>
                                                          <w:b/>
                                                          <w:bCs/>
                                                        </w:rPr>
                                                        <w:t>Details below.</w:t>
                                                      </w:r>
                                                    </w:p>
                                                  </w:tc>
                                                </w:tr>
                                              </w:tbl>
                                              <w:p w14:paraId="6408DF7C" w14:textId="77777777" w:rsidR="00B825DE" w:rsidRPr="00B825DE" w:rsidRDefault="00B825DE" w:rsidP="00B825DE"/>
                                            </w:tc>
                                          </w:tr>
                                        </w:tbl>
                                        <w:p w14:paraId="19739889" w14:textId="77777777" w:rsidR="00B825DE" w:rsidRPr="00B825DE" w:rsidRDefault="00B825DE" w:rsidP="00B825DE"/>
                                      </w:tc>
                                    </w:tr>
                                    <w:tr w:rsidR="00B825DE" w:rsidRPr="00B825DE" w14:paraId="3D8F9C60"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B825DE" w:rsidRPr="00B825DE" w14:paraId="51FA9A48" w14:textId="77777777">
                                            <w:trPr>
                                              <w:trHeight w:val="200"/>
                                            </w:trPr>
                                            <w:tc>
                                              <w:tcPr>
                                                <w:tcW w:w="0" w:type="auto"/>
                                                <w:hideMark/>
                                              </w:tcPr>
                                              <w:p w14:paraId="20ED7DAA" w14:textId="77777777" w:rsidR="00B825DE" w:rsidRPr="00B825DE" w:rsidRDefault="00B825DE" w:rsidP="00B825DE"/>
                                            </w:tc>
                                          </w:tr>
                                        </w:tbl>
                                        <w:p w14:paraId="15FD9D7E" w14:textId="77777777" w:rsidR="00B825DE" w:rsidRPr="00B825DE" w:rsidRDefault="00B825DE" w:rsidP="00B825DE"/>
                                      </w:tc>
                                    </w:tr>
                                    <w:tr w:rsidR="00B825DE" w:rsidRPr="00B825DE" w14:paraId="4408E573" w14:textId="77777777">
                                      <w:tc>
                                        <w:tcPr>
                                          <w:tcW w:w="0" w:type="auto"/>
                                          <w:tcBorders>
                                            <w:top w:val="nil"/>
                                            <w:left w:val="nil"/>
                                            <w:bottom w:val="nil"/>
                                            <w:right w:val="nil"/>
                                          </w:tcBorders>
                                          <w:tcMar>
                                            <w:top w:w="180" w:type="dxa"/>
                                            <w:left w:w="180" w:type="dxa"/>
                                            <w:bottom w:w="180" w:type="dxa"/>
                                            <w:right w:w="180" w:type="dxa"/>
                                          </w:tcMar>
                                          <w:hideMark/>
                                        </w:tcPr>
                                        <w:tbl>
                                          <w:tblPr>
                                            <w:tblW w:w="0" w:type="auto"/>
                                            <w:jc w:val="center"/>
                                            <w:tblCellMar>
                                              <w:left w:w="0" w:type="dxa"/>
                                              <w:right w:w="0" w:type="dxa"/>
                                            </w:tblCellMar>
                                            <w:tblLook w:val="04A0" w:firstRow="1" w:lastRow="0" w:firstColumn="1" w:lastColumn="0" w:noHBand="0" w:noVBand="1"/>
                                          </w:tblPr>
                                          <w:tblGrid>
                                            <w:gridCol w:w="1967"/>
                                          </w:tblGrid>
                                          <w:tr w:rsidR="00B825DE" w:rsidRPr="00B825DE" w14:paraId="404CB5DC" w14:textId="77777777">
                                            <w:trPr>
                                              <w:jc w:val="center"/>
                                            </w:trPr>
                                            <w:tc>
                                              <w:tcPr>
                                                <w:tcW w:w="0" w:type="auto"/>
                                                <w:shd w:val="clear" w:color="auto" w:fill="FFF960"/>
                                                <w:hideMark/>
                                              </w:tcPr>
                                              <w:p w14:paraId="496EF228" w14:textId="77777777" w:rsidR="00B825DE" w:rsidRPr="00B825DE" w:rsidRDefault="00B825DE" w:rsidP="00B825DE">
                                                <w:hyperlink r:id="rId6" w:tgtFrame="_blank" w:history="1">
                                                  <w:r w:rsidRPr="00B825DE">
                                                    <w:rPr>
                                                      <w:rStyle w:val="Hyperlink"/>
                                                      <w:b/>
                                                      <w:bCs/>
                                                    </w:rPr>
                                                    <w:t>SUPPORT OUR WORK</w:t>
                                                  </w:r>
                                                </w:hyperlink>
                                              </w:p>
                                            </w:tc>
                                          </w:tr>
                                        </w:tbl>
                                        <w:p w14:paraId="59E97DC8" w14:textId="77777777" w:rsidR="00B825DE" w:rsidRPr="00B825DE" w:rsidRDefault="00B825DE" w:rsidP="00B825DE">
                                          <w:pPr>
                                            <w:rPr>
                                              <w:vanish/>
                                            </w:rPr>
                                          </w:pPr>
                                        </w:p>
                                        <w:tbl>
                                          <w:tblPr>
                                            <w:tblW w:w="0" w:type="auto"/>
                                            <w:jc w:val="center"/>
                                            <w:tblCellMar>
                                              <w:left w:w="0" w:type="dxa"/>
                                              <w:right w:w="0" w:type="dxa"/>
                                            </w:tblCellMar>
                                            <w:tblLook w:val="04A0" w:firstRow="1" w:lastRow="0" w:firstColumn="1" w:lastColumn="0" w:noHBand="0" w:noVBand="1"/>
                                          </w:tblPr>
                                          <w:tblGrid>
                                            <w:gridCol w:w="6"/>
                                          </w:tblGrid>
                                          <w:tr w:rsidR="00B825DE" w:rsidRPr="00B825DE" w14:paraId="110BED99" w14:textId="77777777">
                                            <w:trPr>
                                              <w:jc w:val="center"/>
                                            </w:trPr>
                                            <w:tc>
                                              <w:tcPr>
                                                <w:tcW w:w="0" w:type="auto"/>
                                                <w:vAlign w:val="center"/>
                                                <w:hideMark/>
                                              </w:tcPr>
                                              <w:p w14:paraId="6D8B38B8" w14:textId="77777777" w:rsidR="00B825DE" w:rsidRPr="00B825DE" w:rsidRDefault="00B825DE" w:rsidP="00B825DE"/>
                                            </w:tc>
                                          </w:tr>
                                        </w:tbl>
                                        <w:p w14:paraId="11A6B8B6" w14:textId="77777777" w:rsidR="00B825DE" w:rsidRPr="00B825DE" w:rsidRDefault="00B825DE" w:rsidP="00B825DE"/>
                                      </w:tc>
                                    </w:tr>
                                    <w:tr w:rsidR="00B825DE" w:rsidRPr="00B825DE" w14:paraId="535A8493"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B825DE" w:rsidRPr="00B825DE" w14:paraId="42C9F23E" w14:textId="77777777">
                                            <w:trPr>
                                              <w:trHeight w:val="200"/>
                                            </w:trPr>
                                            <w:tc>
                                              <w:tcPr>
                                                <w:tcW w:w="0" w:type="auto"/>
                                                <w:hideMark/>
                                              </w:tcPr>
                                              <w:p w14:paraId="2457439F" w14:textId="77777777" w:rsidR="00B825DE" w:rsidRPr="00B825DE" w:rsidRDefault="00B825DE" w:rsidP="00B825DE"/>
                                            </w:tc>
                                          </w:tr>
                                        </w:tbl>
                                        <w:p w14:paraId="585F194D" w14:textId="77777777" w:rsidR="00B825DE" w:rsidRPr="00B825DE" w:rsidRDefault="00B825DE" w:rsidP="00B825DE"/>
                                      </w:tc>
                                    </w:tr>
                                    <w:tr w:rsidR="00B825DE" w:rsidRPr="00B825DE" w14:paraId="3F6BE656"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B825DE" w:rsidRPr="00B825DE" w14:paraId="021A7C7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B825DE" w:rsidRPr="00B825DE" w14:paraId="6F7AD839" w14:textId="77777777">
                                                  <w:trPr>
                                                    <w:tblCellSpacing w:w="15" w:type="dxa"/>
                                                  </w:trPr>
                                                  <w:tc>
                                                    <w:tcPr>
                                                      <w:tcW w:w="0" w:type="auto"/>
                                                      <w:tcMar>
                                                        <w:top w:w="180" w:type="dxa"/>
                                                        <w:left w:w="360" w:type="dxa"/>
                                                        <w:bottom w:w="180" w:type="dxa"/>
                                                        <w:right w:w="360" w:type="dxa"/>
                                                      </w:tcMar>
                                                      <w:vAlign w:val="center"/>
                                                      <w:hideMark/>
                                                    </w:tcPr>
                                                    <w:p w14:paraId="529CE0EE" w14:textId="77777777" w:rsidR="00B825DE" w:rsidRPr="00B825DE" w:rsidRDefault="00B825DE" w:rsidP="00B825DE">
                                                      <w:r w:rsidRPr="00B825DE">
                                                        <w:t>The Hind Rajab Foundation (HRF) has launched a new wave of international legal and advocacy actions spanning three continents, reinforcing a growing reality: individuals suspected of involvement in war crimes, crimes against humanity, and genocide in Gaza can no longer assume that international travel will shield them from scrutiny.</w:t>
                                                      </w:r>
                                                    </w:p>
                                                    <w:p w14:paraId="676DE905" w14:textId="77777777" w:rsidR="00B825DE" w:rsidRPr="00B825DE" w:rsidRDefault="00B825DE" w:rsidP="00B825DE">
                                                      <w:r w:rsidRPr="00B825DE">
                                                        <w:t>In recent days, HRF has called for action in India, Poland, and the United States against individuals alleged to bear responsibility for grave violations of international law. While the cases differ in their facts and legal frameworks, they share a common objective: ending the culture of impunity that has long protected those implicated in crimes against Palestinians.</w:t>
                                                      </w:r>
                                                    </w:p>
                                                    <w:p w14:paraId="7E91477E" w14:textId="77777777" w:rsidR="00B825DE" w:rsidRPr="00B825DE" w:rsidRDefault="00B825DE" w:rsidP="00B825DE">
                                                      <w:r w:rsidRPr="00B825DE">
                                                        <w:t>In India, HRF has demanded the immediate arrest of Israeli reservist Eitan Gilboa, who is currently present in the country. The foundation argues that credible evidence linking Gilboa to crimes committed during military operations in Gaza requires urgent action by Indian authorities. HRF has called upon India to uphold its international obligations and ensure that its territory does not become a safe haven for individuals accused of serious international crimes.</w:t>
                                                      </w:r>
                                                    </w:p>
                                                    <w:p w14:paraId="2670B572" w14:textId="77777777" w:rsidR="00B825DE" w:rsidRPr="00B825DE" w:rsidRDefault="00B825DE" w:rsidP="00B825DE">
                                                      <w:r w:rsidRPr="00B825DE">
                                                        <w:t>At the same time, HRF has turned its attention to New York, where former Israeli Air Force commanders are scheduled to participate in a Jerusalem Post conference. The foundation has demanded accountability for senior military officials who allegedly played key roles in directing aerial campaigns that resulted in widespread civilian casualties and the destruction of homes, hospitals, schools, and other civilian infrastructure in Gaza. HRF argues that command responsibility does not disappear with retirement and that those who planned or oversaw military operations must also face legal scrutiny.</w:t>
                                                      </w:r>
                                                    </w:p>
                                                    <w:p w14:paraId="4CED95E1" w14:textId="77777777" w:rsidR="00B825DE" w:rsidRPr="00B825DE" w:rsidRDefault="00B825DE" w:rsidP="00B825DE">
                                                      <w:r w:rsidRPr="00B825DE">
                                                        <w:t>Meanwhile, in Poland, HRF has submitted an urgent demand for the arrest of Jonathan Barkat, who is accused of war crimes, crimes against humanity, and genocide. The foundation maintains that the evidence available against Barkat warrants immediate investigation and that Polish authorities have both the legal authority and the responsibility to act. The case reflects a broader effort to activate national jurisdictions against suspects who travel abroad despite allegations of involvement in grave international crimes.</w:t>
                                                      </w:r>
                                                    </w:p>
                                                    <w:p w14:paraId="519BACCF" w14:textId="77777777" w:rsidR="00B825DE" w:rsidRPr="00B825DE" w:rsidRDefault="00B825DE" w:rsidP="00B825DE">
                                                      <w:r w:rsidRPr="00B825DE">
                                                        <w:t>Taken together, these three actions illustrate the evolving landscape of international accountability. Increasingly, legal complaints are not limited to direct perpetrators on the battlefield but extend to reservists, commanders, and individuals whose actions or decisions may have contributed to unlawful attacks against civilians. The growing use of universal jurisdiction and other accountability mechanisms is creating new avenues for justice where political obstacles have long stood in the way.</w:t>
                                                      </w:r>
                                                    </w:p>
                                                    <w:p w14:paraId="5C415365" w14:textId="77777777" w:rsidR="00B825DE" w:rsidRPr="00B825DE" w:rsidRDefault="00B825DE" w:rsidP="00B825DE">
                                                      <w:r w:rsidRPr="00B825DE">
                                                        <w:t>These cases are also part of a much wider effort. Over recent weeks, HRF has initiated numerous legal actions across multiple jurisdictions, many of which remain confidential for strategic reasons. Each filing contributes to a broader international network of accountability aimed at ensuring that serious violations of international law are investigated wherever suspects may be found.</w:t>
                                                      </w:r>
                                                    </w:p>
                                                    <w:p w14:paraId="51292D7F" w14:textId="77777777" w:rsidR="00B825DE" w:rsidRPr="00B825DE" w:rsidRDefault="00B825DE" w:rsidP="00B825DE">
                                                      <w:r w:rsidRPr="00B825DE">
                                                        <w:t>The message emerging from India, Poland, and New York is clear: accountability is no longer confined by borders. As more jurisdictions become engaged and more evidence reaches prosecutors and law-enforcement agencies, the space for impunity continues to shrink. Justice may be gradual, but it advances one case at a time, one jurisdiction at a time, until impunity has nowhere left to hide.</w:t>
                                                      </w:r>
                                                    </w:p>
                                                    <w:p w14:paraId="33C338E1" w14:textId="77777777" w:rsidR="00B825DE" w:rsidRPr="00B825DE" w:rsidRDefault="00B825DE" w:rsidP="00B825DE"/>
                                                    <w:p w14:paraId="6369DE1D" w14:textId="77777777" w:rsidR="00B825DE" w:rsidRPr="00B825DE" w:rsidRDefault="00B825DE" w:rsidP="00B825DE"/>
                                                  </w:tc>
                                                </w:tr>
                                              </w:tbl>
                                              <w:p w14:paraId="56C5ECCE" w14:textId="77777777" w:rsidR="00B825DE" w:rsidRPr="00B825DE" w:rsidRDefault="00B825DE" w:rsidP="00B825DE"/>
                                            </w:tc>
                                          </w:tr>
                                        </w:tbl>
                                        <w:p w14:paraId="4D25D512" w14:textId="77777777" w:rsidR="00B825DE" w:rsidRPr="00B825DE" w:rsidRDefault="00B825DE" w:rsidP="00B825DE"/>
                                      </w:tc>
                                    </w:tr>
                                  </w:tbl>
                                  <w:p w14:paraId="29705712" w14:textId="77777777" w:rsidR="00B825DE" w:rsidRPr="00B825DE" w:rsidRDefault="00B825DE" w:rsidP="00B825DE"/>
                                </w:tc>
                              </w:tr>
                            </w:tbl>
                            <w:p w14:paraId="201B2FDF" w14:textId="77777777" w:rsidR="00B825DE" w:rsidRPr="00B825DE" w:rsidRDefault="00B825DE" w:rsidP="00B825DE"/>
                          </w:tc>
                        </w:tr>
                      </w:tbl>
                      <w:p w14:paraId="2CDDA8E2" w14:textId="77777777" w:rsidR="00B825DE" w:rsidRPr="00B825DE" w:rsidRDefault="00B825DE" w:rsidP="00B825DE"/>
                    </w:tc>
                  </w:tr>
                </w:tbl>
                <w:p w14:paraId="1FAC8603" w14:textId="77777777" w:rsidR="00B825DE" w:rsidRPr="00B825DE" w:rsidRDefault="00B825DE" w:rsidP="00B825DE"/>
              </w:tc>
            </w:tr>
          </w:tbl>
          <w:p w14:paraId="1C605449" w14:textId="77777777" w:rsidR="00B825DE" w:rsidRPr="00B825DE" w:rsidRDefault="00B825DE" w:rsidP="00B825DE"/>
        </w:tc>
      </w:tr>
    </w:tbl>
    <w:p w14:paraId="59AC212B"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DE"/>
    <w:rsid w:val="008670C1"/>
    <w:rsid w:val="00A13ADC"/>
    <w:rsid w:val="00B825DE"/>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85B4"/>
  <w15:chartTrackingRefBased/>
  <w15:docId w15:val="{3CB09A17-FB06-4641-A376-233C53A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2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2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25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25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25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2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2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2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2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25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25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25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25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25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2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2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2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25DE"/>
    <w:rPr>
      <w:rFonts w:eastAsiaTheme="majorEastAsia" w:cstheme="majorBidi"/>
      <w:color w:val="272727" w:themeColor="text1" w:themeTint="D8"/>
    </w:rPr>
  </w:style>
  <w:style w:type="paragraph" w:styleId="Titel">
    <w:name w:val="Title"/>
    <w:basedOn w:val="Standaard"/>
    <w:next w:val="Standaard"/>
    <w:link w:val="TitelChar"/>
    <w:uiPriority w:val="10"/>
    <w:qFormat/>
    <w:rsid w:val="00B825D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2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2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2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2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25DE"/>
    <w:rPr>
      <w:i/>
      <w:iCs/>
      <w:color w:val="404040" w:themeColor="text1" w:themeTint="BF"/>
    </w:rPr>
  </w:style>
  <w:style w:type="paragraph" w:styleId="Lijstalinea">
    <w:name w:val="List Paragraph"/>
    <w:basedOn w:val="Standaard"/>
    <w:uiPriority w:val="34"/>
    <w:qFormat/>
    <w:rsid w:val="00B825DE"/>
    <w:pPr>
      <w:ind w:left="720"/>
      <w:contextualSpacing/>
    </w:pPr>
  </w:style>
  <w:style w:type="character" w:styleId="Intensievebenadrukking">
    <w:name w:val="Intense Emphasis"/>
    <w:basedOn w:val="Standaardalinea-lettertype"/>
    <w:uiPriority w:val="21"/>
    <w:qFormat/>
    <w:rsid w:val="00B825DE"/>
    <w:rPr>
      <w:i/>
      <w:iCs/>
      <w:color w:val="0F4761" w:themeColor="accent1" w:themeShade="BF"/>
    </w:rPr>
  </w:style>
  <w:style w:type="paragraph" w:styleId="Duidelijkcitaat">
    <w:name w:val="Intense Quote"/>
    <w:basedOn w:val="Standaard"/>
    <w:next w:val="Standaard"/>
    <w:link w:val="DuidelijkcitaatChar"/>
    <w:uiPriority w:val="30"/>
    <w:qFormat/>
    <w:rsid w:val="00B82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25DE"/>
    <w:rPr>
      <w:i/>
      <w:iCs/>
      <w:color w:val="0F4761" w:themeColor="accent1" w:themeShade="BF"/>
    </w:rPr>
  </w:style>
  <w:style w:type="character" w:styleId="Intensieveverwijzing">
    <w:name w:val="Intense Reference"/>
    <w:basedOn w:val="Standaardalinea-lettertype"/>
    <w:uiPriority w:val="32"/>
    <w:qFormat/>
    <w:rsid w:val="00B825DE"/>
    <w:rPr>
      <w:b/>
      <w:bCs/>
      <w:smallCaps/>
      <w:color w:val="0F4761" w:themeColor="accent1" w:themeShade="BF"/>
      <w:spacing w:val="5"/>
    </w:rPr>
  </w:style>
  <w:style w:type="character" w:styleId="Hyperlink">
    <w:name w:val="Hyperlink"/>
    <w:basedOn w:val="Standaardalinea-lettertype"/>
    <w:uiPriority w:val="99"/>
    <w:unhideWhenUsed/>
    <w:rsid w:val="00B825DE"/>
    <w:rPr>
      <w:color w:val="467886" w:themeColor="hyperlink"/>
      <w:u w:val="single"/>
    </w:rPr>
  </w:style>
  <w:style w:type="character" w:styleId="Onopgelostemelding">
    <w:name w:val="Unresolved Mention"/>
    <w:basedOn w:val="Standaardalinea-lettertype"/>
    <w:uiPriority w:val="99"/>
    <w:semiHidden/>
    <w:unhideWhenUsed/>
    <w:rsid w:val="00B82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list-manage.com/FiMh3zDTkpy?e=6c17b3f50f&amp;c2id=5f0c8987dbab297a1b4f04d82913220e"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716</Words>
  <Characters>3943</Characters>
  <Application>Microsoft Office Word</Application>
  <DocSecurity>0</DocSecurity>
  <Lines>32</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2026-06-12T16:32:00Z</dcterms:created>
  <dcterms:modified xsi:type="dcterms:W3CDTF">2026-06-12T16:33:00Z</dcterms:modified>
</cp:coreProperties>
</file>