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3C5246" w:rsidRPr="003C5246" w14:paraId="7B59D3FA"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3C5246" w:rsidRPr="003C5246" w14:paraId="5420C5AD"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3C5246" w:rsidRPr="003C5246" w14:paraId="0C189BE8"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3C5246" w:rsidRPr="003C5246" w14:paraId="3D49C42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C5246" w:rsidRPr="003C5246" w14:paraId="7B59917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C5246" w:rsidRPr="003C5246" w14:paraId="66C08E3C" w14:textId="77777777">
                                      <w:tc>
                                        <w:tcPr>
                                          <w:tcW w:w="0" w:type="auto"/>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3C5246" w:rsidRPr="003C5246" w14:paraId="47EB393F" w14:textId="77777777">
                                            <w:trPr>
                                              <w:tblCellSpacing w:w="0" w:type="dxa"/>
                                            </w:trPr>
                                            <w:tc>
                                              <w:tcPr>
                                                <w:tcW w:w="0" w:type="auto"/>
                                                <w:tcBorders>
                                                  <w:top w:val="nil"/>
                                                  <w:left w:val="nil"/>
                                                  <w:bottom w:val="nil"/>
                                                  <w:right w:val="nil"/>
                                                </w:tcBorders>
                                                <w:hideMark/>
                                              </w:tcPr>
                                              <w:p w14:paraId="588380A6"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r w:rsidRPr="003C5246">
                                                  <w:rPr>
                                                    <w:rFonts w:ascii="Times New Roman" w:eastAsia="Times New Roman" w:hAnsi="Times New Roman" w:cs="Times New Roman"/>
                                                    <w:noProof/>
                                                    <w:kern w:val="0"/>
                                                    <w:lang w:eastAsia="nl-NL"/>
                                                    <w14:ligatures w14:val="none"/>
                                                  </w:rPr>
                                                  <w:drawing>
                                                    <wp:inline distT="0" distB="0" distL="0" distR="0" wp14:anchorId="40262524" wp14:editId="3A0756D7">
                                                      <wp:extent cx="3143250" cy="1047750"/>
                                                      <wp:effectExtent l="0" t="0" r="0" b="0"/>
                                                      <wp:docPr id="3"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st, Lettertype, Graphics, grafische vormgeving&#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25FFF0AB"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041D83E5"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362ED262"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51F7021B"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2721BB72" w14:textId="77777777" w:rsidR="003C5246" w:rsidRPr="003C5246" w:rsidRDefault="003C5246" w:rsidP="003C5246">
                  <w:pPr>
                    <w:spacing w:after="0" w:line="240" w:lineRule="auto"/>
                    <w:jc w:val="center"/>
                    <w:rPr>
                      <w:rFonts w:ascii="Times New Roman" w:eastAsia="Times New Roman" w:hAnsi="Times New Roman" w:cs="Times New Roman"/>
                      <w:kern w:val="0"/>
                      <w:lang w:eastAsia="nl-NL"/>
                      <w14:ligatures w14:val="none"/>
                    </w:rPr>
                  </w:pPr>
                </w:p>
              </w:tc>
            </w:tr>
            <w:tr w:rsidR="003C5246" w:rsidRPr="003C5246" w14:paraId="7D57B44A"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072"/>
                  </w:tblGrid>
                  <w:tr w:rsidR="003C5246" w:rsidRPr="003C5246" w14:paraId="31B1FA4C"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3C5246" w:rsidRPr="003C5246" w14:paraId="5654E00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3C5246" w:rsidRPr="003C5246" w14:paraId="52119007"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3C5246" w:rsidRPr="003C5246" w14:paraId="0B21F7BD" w14:textId="77777777">
                                      <w:tc>
                                        <w:tcPr>
                                          <w:tcW w:w="0" w:type="auto"/>
                                          <w:shd w:val="clear" w:color="auto" w:fill="EFEBEB"/>
                                          <w:hideMark/>
                                        </w:tcPr>
                                        <w:tbl>
                                          <w:tblPr>
                                            <w:tblW w:w="5000" w:type="pct"/>
                                            <w:tblCellMar>
                                              <w:left w:w="0" w:type="dxa"/>
                                              <w:right w:w="0" w:type="dxa"/>
                                            </w:tblCellMar>
                                            <w:tblLook w:val="04A0" w:firstRow="1" w:lastRow="0" w:firstColumn="1" w:lastColumn="0" w:noHBand="0" w:noVBand="1"/>
                                          </w:tblPr>
                                          <w:tblGrid>
                                            <w:gridCol w:w="9072"/>
                                          </w:tblGrid>
                                          <w:tr w:rsidR="003C5246" w:rsidRPr="003C5246" w14:paraId="75005EC5" w14:textId="77777777">
                                            <w:trPr>
                                              <w:trHeight w:val="300"/>
                                            </w:trPr>
                                            <w:tc>
                                              <w:tcPr>
                                                <w:tcW w:w="0" w:type="auto"/>
                                                <w:hideMark/>
                                              </w:tcPr>
                                              <w:p w14:paraId="084C5FB5" w14:textId="77777777" w:rsidR="003C5246" w:rsidRPr="003C5246" w:rsidRDefault="003C5246" w:rsidP="003C5246">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2A40985D"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r w:rsidR="003C5246" w:rsidRPr="003C5246" w14:paraId="7ECFF59D" w14:textId="77777777">
                                      <w:tc>
                                        <w:tcPr>
                                          <w:tcW w:w="0" w:type="auto"/>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472"/>
                                          </w:tblGrid>
                                          <w:tr w:rsidR="003C5246" w:rsidRPr="003C5246" w14:paraId="28CC59EF" w14:textId="77777777">
                                            <w:trPr>
                                              <w:tblCellSpacing w:w="0" w:type="dxa"/>
                                            </w:trPr>
                                            <w:tc>
                                              <w:tcPr>
                                                <w:tcW w:w="0" w:type="auto"/>
                                                <w:tcBorders>
                                                  <w:top w:val="nil"/>
                                                  <w:left w:val="nil"/>
                                                  <w:bottom w:val="nil"/>
                                                  <w:right w:val="nil"/>
                                                </w:tcBorders>
                                                <w:hideMark/>
                                              </w:tcPr>
                                              <w:p w14:paraId="3129B9DE"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r w:rsidRPr="003C5246">
                                                  <w:rPr>
                                                    <w:rFonts w:ascii="Times New Roman" w:eastAsia="Times New Roman" w:hAnsi="Times New Roman" w:cs="Times New Roman"/>
                                                    <w:noProof/>
                                                    <w:kern w:val="0"/>
                                                    <w:lang w:eastAsia="nl-NL"/>
                                                    <w14:ligatures w14:val="none"/>
                                                  </w:rPr>
                                                  <w:drawing>
                                                    <wp:inline distT="0" distB="0" distL="0" distR="0" wp14:anchorId="488D98F0" wp14:editId="2A4F29E7">
                                                      <wp:extent cx="5905500" cy="3930650"/>
                                                      <wp:effectExtent l="0" t="0" r="0" b="0"/>
                                                      <wp:docPr id="4" name="Afbeelding 3" descr="Afbeelding met hemel, gebouw, architectuur, Symmetr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hemel, gebouw, architectuur, Symmetrie&#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930650"/>
                                                              </a:xfrm>
                                                              <a:prstGeom prst="rect">
                                                                <a:avLst/>
                                                              </a:prstGeom>
                                                              <a:noFill/>
                                                              <a:ln>
                                                                <a:noFill/>
                                                              </a:ln>
                                                            </pic:spPr>
                                                          </pic:pic>
                                                        </a:graphicData>
                                                      </a:graphic>
                                                    </wp:inline>
                                                  </w:drawing>
                                                </w:r>
                                              </w:p>
                                            </w:tc>
                                          </w:tr>
                                        </w:tbl>
                                        <w:p w14:paraId="42A2E8F6"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r w:rsidR="003C5246" w:rsidRPr="003C5246" w14:paraId="19239409"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5246" w:rsidRPr="003C5246" w14:paraId="1D9EE726" w14:textId="77777777">
                                            <w:trPr>
                                              <w:tblCellSpacing w:w="15" w:type="dxa"/>
                                            </w:trPr>
                                            <w:tc>
                                              <w:tcPr>
                                                <w:tcW w:w="0" w:type="auto"/>
                                                <w:tcMar>
                                                  <w:top w:w="180" w:type="dxa"/>
                                                  <w:left w:w="360" w:type="dxa"/>
                                                  <w:bottom w:w="180" w:type="dxa"/>
                                                  <w:right w:w="360" w:type="dxa"/>
                                                </w:tcMar>
                                                <w:vAlign w:val="center"/>
                                                <w:hideMark/>
                                              </w:tcPr>
                                              <w:p w14:paraId="0B0E767C"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p>
                                              <w:p w14:paraId="44E41CA2"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Following our urgent complaint, Belgian authorities arrested two Israeli soldiers at Tomorrowland over credible war crimes in Gaza. After investigation and interrogation, the case was referred to the ICC.</w:t>
                                                </w:r>
                                              </w:p>
                                              <w:p w14:paraId="7E2B456B"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p>
                                              <w:p w14:paraId="5D132084"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This marks a historic step—but not enough. Belgium should have detained and prosecuted them. Releasing suspects risks reinforcing impunity.</w:t>
                                                </w:r>
                                              </w:p>
                                              <w:p w14:paraId="41D35187"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p>
                                              <w:p w14:paraId="62EB7F42"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We call on the ICC to act without delay. Justice must go further—and we will not stop.</w:t>
                                                </w:r>
                                              </w:p>
                                              <w:p w14:paraId="7F7DF14C"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b/>
                                                    <w:bCs/>
                                                    <w:color w:val="343840"/>
                                                    <w:kern w:val="0"/>
                                                    <w:lang w:eastAsia="nl-NL"/>
                                                    <w14:ligatures w14:val="none"/>
                                                  </w:rPr>
                                                  <w:t>Read the full press release below.</w:t>
                                                </w:r>
                                              </w:p>
                                            </w:tc>
                                          </w:tr>
                                        </w:tbl>
                                        <w:p w14:paraId="74165E10"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r w:rsidR="003C5246" w:rsidRPr="003C5246" w14:paraId="2201DEEE" w14:textId="77777777">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3C5246" w:rsidRPr="003C5246" w14:paraId="738C720E" w14:textId="77777777">
                                            <w:trPr>
                                              <w:trHeight w:val="200"/>
                                            </w:trPr>
                                            <w:tc>
                                              <w:tcPr>
                                                <w:tcW w:w="0" w:type="auto"/>
                                                <w:hideMark/>
                                              </w:tcPr>
                                              <w:p w14:paraId="04F2D971" w14:textId="77777777" w:rsidR="003C5246" w:rsidRPr="003C5246" w:rsidRDefault="003C5246" w:rsidP="003C5246">
                                                <w:pPr>
                                                  <w:spacing w:after="0" w:line="240" w:lineRule="auto"/>
                                                  <w:rPr>
                                                    <w:rFonts w:ascii="Times New Roman" w:eastAsia="Times New Roman" w:hAnsi="Times New Roman" w:cs="Times New Roman"/>
                                                    <w:kern w:val="0"/>
                                                    <w:sz w:val="20"/>
                                                    <w:szCs w:val="20"/>
                                                    <w:lang w:eastAsia="nl-NL"/>
                                                    <w14:ligatures w14:val="none"/>
                                                  </w:rPr>
                                                </w:pPr>
                                              </w:p>
                                            </w:tc>
                                          </w:tr>
                                        </w:tbl>
                                        <w:p w14:paraId="6E007127"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r w:rsidR="003C5246" w:rsidRPr="003C5246" w14:paraId="6430F7F7" w14:textId="77777777">
                                      <w:tc>
                                        <w:tcPr>
                                          <w:tcW w:w="0" w:type="auto"/>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3C5246" w:rsidRPr="003C5246" w14:paraId="60E514BC" w14:textId="77777777">
                                            <w:trPr>
                                              <w:jc w:val="center"/>
                                            </w:trPr>
                                            <w:tc>
                                              <w:tcPr>
                                                <w:tcW w:w="0" w:type="auto"/>
                                                <w:shd w:val="clear" w:color="auto" w:fill="FFF960"/>
                                                <w:hideMark/>
                                              </w:tcPr>
                                              <w:p w14:paraId="3CD20A62" w14:textId="77777777" w:rsidR="003C5246" w:rsidRPr="003C5246" w:rsidRDefault="003C5246" w:rsidP="003C5246">
                                                <w:pPr>
                                                  <w:spacing w:after="0" w:line="240" w:lineRule="auto"/>
                                                  <w:jc w:val="center"/>
                                                  <w:rPr>
                                                    <w:rFonts w:ascii="Times New Roman" w:eastAsia="Times New Roman" w:hAnsi="Times New Roman" w:cs="Times New Roman"/>
                                                    <w:kern w:val="0"/>
                                                    <w:lang w:eastAsia="nl-NL"/>
                                                    <w14:ligatures w14:val="none"/>
                                                  </w:rPr>
                                                </w:pPr>
                                                <w:hyperlink r:id="rId6" w:tgtFrame="_blank" w:history="1">
                                                  <w:r w:rsidRPr="003C5246">
                                                    <w:rPr>
                                                      <w:rFonts w:ascii="Helvetica" w:eastAsia="Times New Roman" w:hAnsi="Helvetica" w:cs="Helvetica"/>
                                                      <w:b/>
                                                      <w:bCs/>
                                                      <w:color w:val="343840"/>
                                                      <w:kern w:val="0"/>
                                                      <w:sz w:val="27"/>
                                                      <w:szCs w:val="27"/>
                                                      <w:u w:val="single"/>
                                                      <w:bdr w:val="none" w:sz="0" w:space="0" w:color="auto" w:frame="1"/>
                                                      <w:shd w:val="clear" w:color="auto" w:fill="FFF960"/>
                                                      <w:lang w:eastAsia="nl-NL"/>
                                                      <w14:ligatures w14:val="none"/>
                                                    </w:rPr>
                                                    <w:t>SUPPORT OUR WORK</w:t>
                                                  </w:r>
                                                </w:hyperlink>
                                              </w:p>
                                            </w:tc>
                                          </w:tr>
                                        </w:tbl>
                                        <w:p w14:paraId="4F5966E8" w14:textId="77777777" w:rsidR="003C5246" w:rsidRPr="003C5246" w:rsidRDefault="003C5246" w:rsidP="003C5246">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3C5246" w:rsidRPr="003C5246" w14:paraId="77676F5E" w14:textId="77777777">
                                            <w:trPr>
                                              <w:jc w:val="center"/>
                                            </w:trPr>
                                            <w:tc>
                                              <w:tcPr>
                                                <w:tcW w:w="0" w:type="auto"/>
                                                <w:vAlign w:val="center"/>
                                                <w:hideMark/>
                                              </w:tcPr>
                                              <w:p w14:paraId="33CDC0BA" w14:textId="77777777" w:rsidR="003C5246" w:rsidRPr="003C5246" w:rsidRDefault="003C5246" w:rsidP="003C5246">
                                                <w:pPr>
                                                  <w:spacing w:after="0" w:line="240" w:lineRule="auto"/>
                                                  <w:jc w:val="center"/>
                                                  <w:rPr>
                                                    <w:rFonts w:ascii="Times New Roman" w:eastAsia="Times New Roman" w:hAnsi="Times New Roman" w:cs="Times New Roman"/>
                                                    <w:kern w:val="0"/>
                                                    <w:lang w:eastAsia="nl-NL"/>
                                                    <w14:ligatures w14:val="none"/>
                                                  </w:rPr>
                                                </w:pPr>
                                              </w:p>
                                            </w:tc>
                                          </w:tr>
                                        </w:tbl>
                                        <w:p w14:paraId="56285425" w14:textId="77777777" w:rsidR="003C5246" w:rsidRPr="003C5246" w:rsidRDefault="003C5246" w:rsidP="003C5246">
                                          <w:pPr>
                                            <w:spacing w:after="0" w:line="240" w:lineRule="auto"/>
                                            <w:jc w:val="center"/>
                                            <w:rPr>
                                              <w:rFonts w:ascii="Times New Roman" w:eastAsia="Times New Roman" w:hAnsi="Times New Roman" w:cs="Times New Roman"/>
                                              <w:kern w:val="0"/>
                                              <w:lang w:eastAsia="nl-NL"/>
                                              <w14:ligatures w14:val="none"/>
                                            </w:rPr>
                                          </w:pPr>
                                        </w:p>
                                      </w:tc>
                                    </w:tr>
                                    <w:tr w:rsidR="003C5246" w:rsidRPr="003C5246" w14:paraId="3A439ECE" w14:textId="77777777">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3C5246" w:rsidRPr="003C5246" w14:paraId="7F16F0F9" w14:textId="77777777">
                                            <w:trPr>
                                              <w:trHeight w:val="200"/>
                                            </w:trPr>
                                            <w:tc>
                                              <w:tcPr>
                                                <w:tcW w:w="0" w:type="auto"/>
                                                <w:hideMark/>
                                              </w:tcPr>
                                              <w:p w14:paraId="45A5A77B" w14:textId="77777777" w:rsidR="003C5246" w:rsidRPr="003C5246" w:rsidRDefault="003C5246" w:rsidP="003C5246">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2E2771C0"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r w:rsidR="003C5246" w:rsidRPr="003C5246" w14:paraId="4CA5C740"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5246" w:rsidRPr="003C5246" w14:paraId="316FCF60" w14:textId="77777777">
                                            <w:trPr>
                                              <w:tblCellSpacing w:w="15" w:type="dxa"/>
                                            </w:trPr>
                                            <w:tc>
                                              <w:tcPr>
                                                <w:tcW w:w="0" w:type="auto"/>
                                                <w:tcMar>
                                                  <w:top w:w="180" w:type="dxa"/>
                                                  <w:left w:w="360" w:type="dxa"/>
                                                  <w:bottom w:w="180" w:type="dxa"/>
                                                  <w:right w:w="360" w:type="dxa"/>
                                                </w:tcMar>
                                                <w:vAlign w:val="center"/>
                                                <w:hideMark/>
                                              </w:tcPr>
                                              <w:p w14:paraId="4F300653"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b/>
                                                    <w:bCs/>
                                                    <w:color w:val="343840"/>
                                                    <w:kern w:val="0"/>
                                                    <w:lang w:eastAsia="nl-NL"/>
                                                    <w14:ligatures w14:val="none"/>
                                                  </w:rPr>
                                                  <w:t>Date: 30 July 2025</w:t>
                                                </w:r>
                                              </w:p>
                                              <w:p w14:paraId="006F6E8E"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b/>
                                                    <w:bCs/>
                                                    <w:color w:val="343840"/>
                                                    <w:kern w:val="0"/>
                                                    <w:lang w:eastAsia="nl-NL"/>
                                                    <w14:ligatures w14:val="none"/>
                                                  </w:rPr>
                                                  <w:t>​</w:t>
                                                </w:r>
                                              </w:p>
                                              <w:p w14:paraId="4DF0ED3D"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b/>
                                                    <w:bCs/>
                                                    <w:color w:val="343840"/>
                                                    <w:kern w:val="0"/>
                                                    <w:lang w:eastAsia="nl-NL"/>
                                                    <w14:ligatures w14:val="none"/>
                                                  </w:rPr>
                                                  <w:t>Brussels </w:t>
                                                </w:r>
                                                <w:r w:rsidRPr="003C5246">
                                                  <w:rPr>
                                                    <w:rFonts w:ascii="Helvetica" w:eastAsia="Times New Roman" w:hAnsi="Helvetica" w:cs="Helvetica"/>
                                                    <w:color w:val="343840"/>
                                                    <w:kern w:val="0"/>
                                                    <w:lang w:eastAsia="nl-NL"/>
                                                    <w14:ligatures w14:val="none"/>
                                                  </w:rPr>
                                                  <w:t>— The Hind Rajab Foundation acknowledges the communication from the Belgian Federal Prosecutor confirming that a criminal investigation was opened following our urgent complaint of 18 July 2025 concerning credible war crimes committed in Gaza by Israeli military personnel.</w:t>
                                                </w:r>
                                              </w:p>
                                              <w:p w14:paraId="2ECA2B15"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The suspects, both actively serving in the Israeli armed forces, were formally identified, arrested and interrogated by Belgian authorities at the Tomorrowland festival in Boom. This unprecedented act was only possible because the allegations were deemed serious enough to warrant direct judicial action. A recognition that the evidence presented is compelling and falls within the scope of international criminal law.</w:t>
                                                </w:r>
                                              </w:p>
                                              <w:p w14:paraId="1CE3957B"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We note with cautious encouragement that the Belgian Federal Prosecutor has decided to refer the case to the International Criminal Court (ICC) in The Hague, invoking Belgium's cooperation framework with the ICC. This referral confirms that the matter has reached the highest level of international legal attention.</w:t>
                                                </w:r>
                                              </w:p>
                                              <w:p w14:paraId="61EA42C8"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However, we believe Belgium should have gone further. In our view, the suspects should not only have been arrested, but also detained and either prosecuted in Belgium or extradited to the ICC. Belgium has the legal basis and responsibility to do so. The current interpretation of its jurisdiction is, in our opinion, unnecessarily limited.</w:t>
                                                </w:r>
                                              </w:p>
                                              <w:p w14:paraId="7310EE36"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Releasing individuals credibly accused of war crimes and crimes against humanity not only undermines public trust in justice, but risks reinforcing a sense of impunity and may enable those individuals to commit further atrocities.</w:t>
                                                </w:r>
                                              </w:p>
                                              <w:p w14:paraId="6B8F7B9C"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This referral is not a conclusion. It is a strategic pivot to the international level. Eventhough legally permissible, it is also a reflection of diplomatic caution at a time when genocide is ongoing. In our view, political considerations should never outweigh the imperatives of justice.</w:t>
                                                </w:r>
                                              </w:p>
                                              <w:p w14:paraId="7A860262"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We now urge the ICC to act without delay and issue arrest warrants against the suspects. Every day of inaction by international institutions is a day of continued suffering and unaccountability.</w:t>
                                                </w:r>
                                              </w:p>
                                              <w:p w14:paraId="02166D68" w14:textId="77777777" w:rsidR="003C5246" w:rsidRPr="003C5246" w:rsidRDefault="003C5246" w:rsidP="003C5246">
                                                <w:pPr>
                                                  <w:spacing w:after="0" w:line="240" w:lineRule="auto"/>
                                                  <w:rPr>
                                                    <w:rFonts w:ascii="Helvetica" w:eastAsia="Times New Roman" w:hAnsi="Helvetica" w:cs="Helvetica"/>
                                                    <w:color w:val="343840"/>
                                                    <w:kern w:val="0"/>
                                                    <w:lang w:eastAsia="nl-NL"/>
                                                    <w14:ligatures w14:val="none"/>
                                                  </w:rPr>
                                                </w:pPr>
                                                <w:r w:rsidRPr="003C5246">
                                                  <w:rPr>
                                                    <w:rFonts w:ascii="Helvetica" w:eastAsia="Times New Roman" w:hAnsi="Helvetica" w:cs="Helvetica"/>
                                                    <w:color w:val="343840"/>
                                                    <w:kern w:val="0"/>
                                                    <w:lang w:eastAsia="nl-NL"/>
                                                    <w14:ligatures w14:val="none"/>
                                                  </w:rPr>
                                                  <w:t>Let it be clear: this case sets a legal and moral precedent. Israeli military personnel, no matter where they travel, are not beyond the reach of justice. We will continue to identify and file criminal complaints against any war crimes suspects entering Belgian territory, especially those with dual nationality or clear links to Belgium. We will also continue working with legal networks across Europe to ensure that universal jurisdiction is effectively applied and not gradually eroded.</w:t>
                                                </w:r>
                                              </w:p>
                                            </w:tc>
                                          </w:tr>
                                        </w:tbl>
                                        <w:p w14:paraId="2973703E"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0ED9BC18"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06CF35F0"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11241E7A" w14:textId="77777777" w:rsidR="003C5246" w:rsidRPr="003C5246" w:rsidRDefault="003C5246" w:rsidP="003C5246">
                        <w:pPr>
                          <w:spacing w:after="0" w:line="240" w:lineRule="auto"/>
                          <w:rPr>
                            <w:rFonts w:ascii="Times New Roman" w:eastAsia="Times New Roman" w:hAnsi="Times New Roman" w:cs="Times New Roman"/>
                            <w:kern w:val="0"/>
                            <w:lang w:eastAsia="nl-NL"/>
                            <w14:ligatures w14:val="none"/>
                          </w:rPr>
                        </w:pPr>
                      </w:p>
                    </w:tc>
                  </w:tr>
                </w:tbl>
                <w:p w14:paraId="13DC167F" w14:textId="77777777" w:rsidR="003C5246" w:rsidRPr="003C5246" w:rsidRDefault="003C5246" w:rsidP="003C5246">
                  <w:pPr>
                    <w:spacing w:after="0" w:line="240" w:lineRule="auto"/>
                    <w:jc w:val="center"/>
                    <w:rPr>
                      <w:rFonts w:ascii="Times New Roman" w:eastAsia="Times New Roman" w:hAnsi="Times New Roman" w:cs="Times New Roman"/>
                      <w:kern w:val="0"/>
                      <w:lang w:eastAsia="nl-NL"/>
                      <w14:ligatures w14:val="none"/>
                    </w:rPr>
                  </w:pPr>
                </w:p>
              </w:tc>
            </w:tr>
          </w:tbl>
          <w:p w14:paraId="28AC76E4" w14:textId="77777777" w:rsidR="003C5246" w:rsidRPr="003C5246" w:rsidRDefault="003C5246" w:rsidP="003C5246">
            <w:pPr>
              <w:spacing w:after="0" w:line="240" w:lineRule="auto"/>
              <w:jc w:val="center"/>
              <w:rPr>
                <w:rFonts w:ascii="Segoe UI" w:eastAsia="Times New Roman" w:hAnsi="Segoe UI" w:cs="Segoe UI"/>
                <w:color w:val="2C3235"/>
                <w:kern w:val="0"/>
                <w:sz w:val="23"/>
                <w:szCs w:val="23"/>
                <w:lang w:eastAsia="nl-NL"/>
                <w14:ligatures w14:val="none"/>
              </w:rPr>
            </w:pPr>
          </w:p>
        </w:tc>
      </w:tr>
    </w:tbl>
    <w:p w14:paraId="148C3821" w14:textId="77777777" w:rsidR="003C5246" w:rsidRDefault="003C5246"/>
    <w:sectPr w:rsidR="003C5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6"/>
    <w:rsid w:val="003C5246"/>
    <w:rsid w:val="00C71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40F3"/>
  <w15:chartTrackingRefBased/>
  <w15:docId w15:val="{BF640C2B-416F-40B8-9F11-5217D0FF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2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2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2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2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2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2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2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2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2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2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2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2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2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2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2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246"/>
    <w:rPr>
      <w:rFonts w:eastAsiaTheme="majorEastAsia" w:cstheme="majorBidi"/>
      <w:color w:val="272727" w:themeColor="text1" w:themeTint="D8"/>
    </w:rPr>
  </w:style>
  <w:style w:type="paragraph" w:styleId="Titel">
    <w:name w:val="Title"/>
    <w:basedOn w:val="Standaard"/>
    <w:next w:val="Standaard"/>
    <w:link w:val="TitelChar"/>
    <w:uiPriority w:val="10"/>
    <w:qFormat/>
    <w:rsid w:val="003C5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2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2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2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2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246"/>
    <w:rPr>
      <w:i/>
      <w:iCs/>
      <w:color w:val="404040" w:themeColor="text1" w:themeTint="BF"/>
    </w:rPr>
  </w:style>
  <w:style w:type="paragraph" w:styleId="Lijstalinea">
    <w:name w:val="List Paragraph"/>
    <w:basedOn w:val="Standaard"/>
    <w:uiPriority w:val="34"/>
    <w:qFormat/>
    <w:rsid w:val="003C5246"/>
    <w:pPr>
      <w:ind w:left="720"/>
      <w:contextualSpacing/>
    </w:pPr>
  </w:style>
  <w:style w:type="character" w:styleId="Intensievebenadrukking">
    <w:name w:val="Intense Emphasis"/>
    <w:basedOn w:val="Standaardalinea-lettertype"/>
    <w:uiPriority w:val="21"/>
    <w:qFormat/>
    <w:rsid w:val="003C5246"/>
    <w:rPr>
      <w:i/>
      <w:iCs/>
      <w:color w:val="0F4761" w:themeColor="accent1" w:themeShade="BF"/>
    </w:rPr>
  </w:style>
  <w:style w:type="paragraph" w:styleId="Duidelijkcitaat">
    <w:name w:val="Intense Quote"/>
    <w:basedOn w:val="Standaard"/>
    <w:next w:val="Standaard"/>
    <w:link w:val="DuidelijkcitaatChar"/>
    <w:uiPriority w:val="30"/>
    <w:qFormat/>
    <w:rsid w:val="003C5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246"/>
    <w:rPr>
      <w:i/>
      <w:iCs/>
      <w:color w:val="0F4761" w:themeColor="accent1" w:themeShade="BF"/>
    </w:rPr>
  </w:style>
  <w:style w:type="character" w:styleId="Intensieveverwijzing">
    <w:name w:val="Intense Reference"/>
    <w:basedOn w:val="Standaardalinea-lettertype"/>
    <w:uiPriority w:val="32"/>
    <w:qFormat/>
    <w:rsid w:val="003C5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6735b4a510&amp;e=6c17b3f50f"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2765</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2025-10-31T07:56:00Z</dcterms:created>
  <dcterms:modified xsi:type="dcterms:W3CDTF">2025-10-31T07:56:00Z</dcterms:modified>
</cp:coreProperties>
</file>