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1A7D" w:rsidRPr="006A1A7D" w14:paraId="04D3AEED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1A7D" w:rsidRPr="006A1A7D" w14:paraId="60C55B3B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6A1A7D" w:rsidRPr="006A1A7D" w14:paraId="2D58F7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6A1A7D" w:rsidRPr="006A1A7D" w14:paraId="5D6E80A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6A1A7D" w:rsidRPr="006A1A7D" w14:paraId="26008346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6A1A7D" w:rsidRPr="006A1A7D" w14:paraId="12BADAE0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6A1A7D" w:rsidRPr="006A1A7D" w14:paraId="50A7AD1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29482B08" w14:textId="6CC55131" w:rsidR="006A1A7D" w:rsidRPr="006A1A7D" w:rsidRDefault="006A1A7D" w:rsidP="006A1A7D">
                                                <w:r w:rsidRPr="006A1A7D">
                                                  <w:drawing>
                                                    <wp:inline distT="0" distB="0" distL="0" distR="0" wp14:anchorId="546E6944" wp14:editId="44A7B614">
                                                      <wp:extent cx="3143250" cy="1047750"/>
                                                      <wp:effectExtent l="0" t="0" r="0" b="0"/>
                                                      <wp:docPr id="1027877007" name="Afbeelding 3" descr="Afbeelding met tekst, Lettertype, Graphics, grafische vormgeving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027877007" name="Afbeelding 3" descr="Afbeelding met tekst, Lettertype, Graphics, grafische vormgeving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BA84DBB" w14:textId="77777777" w:rsidR="006A1A7D" w:rsidRPr="006A1A7D" w:rsidRDefault="006A1A7D" w:rsidP="006A1A7D"/>
                                      </w:tc>
                                    </w:tr>
                                  </w:tbl>
                                  <w:p w14:paraId="256B71FB" w14:textId="77777777" w:rsidR="006A1A7D" w:rsidRPr="006A1A7D" w:rsidRDefault="006A1A7D" w:rsidP="006A1A7D"/>
                                </w:tc>
                              </w:tr>
                            </w:tbl>
                            <w:p w14:paraId="7CB8ED24" w14:textId="77777777" w:rsidR="006A1A7D" w:rsidRPr="006A1A7D" w:rsidRDefault="006A1A7D" w:rsidP="006A1A7D"/>
                          </w:tc>
                        </w:tr>
                      </w:tbl>
                      <w:p w14:paraId="734B5DC3" w14:textId="77777777" w:rsidR="006A1A7D" w:rsidRPr="006A1A7D" w:rsidRDefault="006A1A7D" w:rsidP="006A1A7D"/>
                    </w:tc>
                  </w:tr>
                </w:tbl>
                <w:p w14:paraId="49266389" w14:textId="77777777" w:rsidR="006A1A7D" w:rsidRPr="006A1A7D" w:rsidRDefault="006A1A7D" w:rsidP="006A1A7D"/>
              </w:tc>
            </w:tr>
            <w:tr w:rsidR="006A1A7D" w:rsidRPr="006A1A7D" w14:paraId="5D6B35CE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6A1A7D" w:rsidRPr="006A1A7D" w14:paraId="5E7148C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6A1A7D" w:rsidRPr="006A1A7D" w14:paraId="7895DE7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6A1A7D" w:rsidRPr="006A1A7D" w14:paraId="56ABE3EC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6A1A7D" w:rsidRPr="006A1A7D" w14:paraId="7195DBF8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F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3F36C588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E49C5D2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3344CDBF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2E4B559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5531311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6A1A7D" w:rsidRPr="006A1A7D" w14:paraId="63F6B967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D24B328" w14:textId="77777777" w:rsidR="006A1A7D" w:rsidRPr="006A1A7D" w:rsidRDefault="006A1A7D" w:rsidP="006A1A7D">
                                                      <w:r w:rsidRPr="006A1A7D">
                                                        <w:t>Brussels – 11/02/2026</w:t>
                                                      </w:r>
                                                    </w:p>
                                                    <w:p w14:paraId="23F9B4F7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The Hind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supported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 landmark private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in Australia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President Isaac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Herzog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on charges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genocide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crimes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3DA01A62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In parallel, HRF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United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States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soldier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Adi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Karni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4220F359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The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invokes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federal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statutes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criminalising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war crimes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genocide.</w:t>
                                                      </w:r>
                                                    </w:p>
                                                    <w:p w14:paraId="05247DB2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More details below.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B3396E9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5B357EB9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53452285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2B084C54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B1FB8FC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7864EF81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100679A6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67"/>
                                          </w:tblGrid>
                                          <w:tr w:rsidR="006A1A7D" w:rsidRPr="006A1A7D" w14:paraId="1F0CD32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960"/>
                                                <w:hideMark/>
                                              </w:tcPr>
                                              <w:p w14:paraId="1E4A2F7F" w14:textId="77777777" w:rsidR="006A1A7D" w:rsidRPr="006A1A7D" w:rsidRDefault="006A1A7D" w:rsidP="006A1A7D">
                                                <w:hyperlink r:id="rId5" w:tgtFrame="_blank" w:history="1">
                                                  <w:r w:rsidRPr="006A1A7D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SUPPORT OUR WORK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A0E86D1" w14:textId="77777777" w:rsidR="006A1A7D" w:rsidRPr="006A1A7D" w:rsidRDefault="006A1A7D" w:rsidP="006A1A7D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6A1A7D" w:rsidRPr="006A1A7D" w14:paraId="636E090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A56EA7A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0F5D7963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48EB2856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2FFBC798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3758EFF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6924EED4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7CEFDCF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09DF39F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6A1A7D" w:rsidRPr="006A1A7D" w14:paraId="7AB6276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077459C" w14:textId="77777777" w:rsidR="006A1A7D" w:rsidRPr="006A1A7D" w:rsidRDefault="006A1A7D" w:rsidP="006A1A7D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Australia: Private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Herzog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9123099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53BFB782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10118AD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0"/>
                                          </w:tblGrid>
                                          <w:tr w:rsidR="006A1A7D" w:rsidRPr="006A1A7D" w14:paraId="23B99C9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18FC579B" w14:textId="2C9E5C39" w:rsidR="006A1A7D" w:rsidRPr="006A1A7D" w:rsidRDefault="006A1A7D" w:rsidP="006A1A7D">
                                                <w:r w:rsidRPr="006A1A7D">
                                                  <w:lastRenderedPageBreak/>
                                                  <w:drawing>
                                                    <wp:inline distT="0" distB="0" distL="0" distR="0" wp14:anchorId="2AC939CF" wp14:editId="7F521823">
                                                      <wp:extent cx="5760720" cy="3834130"/>
                                                      <wp:effectExtent l="0" t="0" r="0" b="0"/>
                                                      <wp:docPr id="2144992479" name="Afbeelding 2" descr="Afbeelding met kleding, buitenshuis, persoon, hoed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144992479" name="Afbeelding 2" descr="Afbeelding met kleding, buitenshuis, persoon, hoed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60720" cy="383413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2B8368D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17DD1421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3E18E6F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6A1A7D" w:rsidRPr="006A1A7D" w14:paraId="73DEFA0C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C07A50F" w14:textId="77777777" w:rsidR="006A1A7D" w:rsidRPr="006A1A7D" w:rsidRDefault="006A1A7D" w:rsidP="006A1A7D">
                                                      <w:r w:rsidRPr="006A1A7D">
                                                        <w:t>Sydney/ Australia</w:t>
                                                      </w:r>
                                                    </w:p>
                                                    <w:p w14:paraId="1C53F336" w14:textId="77777777" w:rsidR="006A1A7D" w:rsidRPr="006A1A7D" w:rsidRDefault="006A1A7D" w:rsidP="006A1A7D">
                                                      <w:r w:rsidRPr="006A1A7D">
                                                        <w:t xml:space="preserve">A landmark private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commenced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Australia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President Isaac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Herzog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 joint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submitted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 </w:t>
                                                      </w:r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Hind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Foundation (HRF),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Jewish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Council of Australia,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Australian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National Imams Council (ANIC).</w:t>
                                                      </w:r>
                                                    </w:p>
                                                    <w:p w14:paraId="5BA63263" w14:textId="77777777" w:rsidR="006A1A7D" w:rsidRPr="006A1A7D" w:rsidRDefault="006A1A7D" w:rsidP="006A1A7D">
                                                      <w:proofErr w:type="spellStart"/>
                                                      <w:r w:rsidRPr="006A1A7D">
                                                        <w:t>Lawyers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representing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Melbourne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academic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Tasnim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Sammak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 have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 charge sheet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Magistrates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' Court of Victoria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alleging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eight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offences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genocide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crimes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humanity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Australian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federal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  <w:p w14:paraId="11E7DCA7" w14:textId="77777777" w:rsidR="006A1A7D" w:rsidRPr="006A1A7D" w:rsidRDefault="006A1A7D" w:rsidP="006A1A7D">
                                                      <w:r w:rsidRPr="006A1A7D">
                                                        <w:t xml:space="preserve">The genocide charge is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brought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Section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268.5 of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Commonwealth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Code,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which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grants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extended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geographical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over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crimes. The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alleges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President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Herzog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through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acts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public statements,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aided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abetted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deliberate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infliction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conditions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of life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calculated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bring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Palestinian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people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Gaza.</w:t>
                                                      </w:r>
                                                    </w:p>
                                                    <w:p w14:paraId="0708C099" w14:textId="77777777" w:rsidR="006A1A7D" w:rsidRPr="006A1A7D" w:rsidRDefault="006A1A7D" w:rsidP="006A1A7D">
                                                      <w:r w:rsidRPr="006A1A7D">
                                                        <w:t xml:space="preserve">HRF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announced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seek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leave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intervene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as 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amicus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curiae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should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proceedings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advance.</w:t>
                                                      </w:r>
                                                    </w:p>
                                                    <w:p w14:paraId="75D15D75" w14:textId="77777777" w:rsidR="006A1A7D" w:rsidRPr="006A1A7D" w:rsidRDefault="006A1A7D" w:rsidP="006A1A7D">
                                                      <w:r w:rsidRPr="006A1A7D">
                                                        <w:t>"</w:t>
                                                      </w:r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International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exists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precisely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address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situations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where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state power is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used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destroy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protected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population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If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courts have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must act.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Immunity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cannot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become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,"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said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Dyab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Abou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Jahjah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, General Director of HRF.</w:t>
                                                      </w:r>
                                                    </w:p>
                                                    <w:p w14:paraId="7BFB5453" w14:textId="77777777" w:rsidR="006A1A7D" w:rsidRPr="006A1A7D" w:rsidRDefault="006A1A7D" w:rsidP="006A1A7D">
                                                      <w:proofErr w:type="spellStart"/>
                                                      <w:r w:rsidRPr="006A1A7D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case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represents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 significant step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activating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domestic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courts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where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mechanisms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remain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slow or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constrained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C2B8EFA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5C61328C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65CADF8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7399FB25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75A05B7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7544A716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60B137A8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449A2EF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6A1A7D" w:rsidRPr="006A1A7D" w14:paraId="062DC73B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2EDB3C7" w14:textId="77777777" w:rsidR="006A1A7D" w:rsidRPr="006A1A7D" w:rsidRDefault="006A1A7D" w:rsidP="006A1A7D"/>
                                                    <w:p w14:paraId="6416B78D" w14:textId="77777777" w:rsidR="006A1A7D" w:rsidRPr="006A1A7D" w:rsidRDefault="006A1A7D" w:rsidP="006A1A7D"/>
                                                    <w:p w14:paraId="568C8964" w14:textId="77777777" w:rsidR="006A1A7D" w:rsidRPr="006A1A7D" w:rsidRDefault="006A1A7D" w:rsidP="006A1A7D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6A1A7D">
                                                        <w:t xml:space="preserve">United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: Legal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Adi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Karni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687FB41E" w14:textId="77777777" w:rsidR="006A1A7D" w:rsidRPr="006A1A7D" w:rsidRDefault="006A1A7D" w:rsidP="006A1A7D"/>
                                                  </w:tc>
                                                </w:tr>
                                              </w:tbl>
                                              <w:p w14:paraId="2540DE3A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6A086FAD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3B909AFC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355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029"/>
                                          </w:tblGrid>
                                          <w:tr w:rsidR="006A1A7D" w:rsidRPr="006A1A7D" w14:paraId="692E1C5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09B112E2" w14:textId="45188B2A" w:rsidR="006A1A7D" w:rsidRPr="006A1A7D" w:rsidRDefault="006A1A7D" w:rsidP="006A1A7D">
                                                <w:r w:rsidRPr="006A1A7D">
                                                  <w:lastRenderedPageBreak/>
                                                  <w:drawing>
                                                    <wp:inline distT="0" distB="0" distL="0" distR="0" wp14:anchorId="04BB8774" wp14:editId="1E8DE570">
                                                      <wp:extent cx="4457700" cy="4457700"/>
                                                      <wp:effectExtent l="0" t="0" r="0" b="0"/>
                                                      <wp:docPr id="1830163407" name="Afbeelding 1" descr="Afbeelding met kleding, persoon, grond, Militaire camouflage&#10;&#10;Door AI gegenereerde inhoud is mogelijk onjuis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830163407" name="Afbeelding 1" descr="Afbeelding met kleding, persoon, grond, Militaire camouflage&#10;&#10;Door AI gegenereerde inhoud is mogelijk onjuis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457700" cy="44577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018D25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7A6F7B3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6AD9C837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35968785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3FE2CA16" w14:textId="77777777" w:rsidR="006A1A7D" w:rsidRPr="006A1A7D" w:rsidRDefault="006A1A7D" w:rsidP="006A1A7D"/>
                                      </w:tc>
                                    </w:tr>
                                    <w:tr w:rsidR="006A1A7D" w:rsidRPr="006A1A7D" w14:paraId="2BBDA0E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6A1A7D" w:rsidRPr="006A1A7D" w14:paraId="5B41BB5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6A1A7D" w:rsidRPr="006A1A7D" w14:paraId="48FA1313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1D7DDC8" w14:textId="77777777" w:rsidR="006A1A7D" w:rsidRPr="006A1A7D" w:rsidRDefault="006A1A7D" w:rsidP="006A1A7D">
                                                      <w:r w:rsidRPr="006A1A7D">
                                                        <w:t xml:space="preserve">New York / United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States</w:t>
                                                      </w:r>
                                                      <w:proofErr w:type="spellEnd"/>
                                                    </w:p>
                                                    <w:p w14:paraId="7163F6A1" w14:textId="77777777" w:rsidR="006A1A7D" w:rsidRPr="006A1A7D" w:rsidRDefault="006A1A7D" w:rsidP="006A1A7D">
                                                      <w:r w:rsidRPr="006A1A7D">
                                                        <w:t xml:space="preserve">In parallel, HRF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United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Adi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Karni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former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sergeant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 </w:t>
                                                      </w:r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603rd Combat Engineering Battalion</w:t>
                                                      </w:r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currently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present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recently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invited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speak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at Boston University.</w:t>
                                                      </w:r>
                                                    </w:p>
                                                    <w:p w14:paraId="22F96870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filing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grounded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in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federal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statutes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:</w:t>
                                                      </w:r>
                                                    </w:p>
                                                    <w:p w14:paraId="55286488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18 U.S.C. §2441 (War Crimes Act)</w:t>
                                                      </w:r>
                                                    </w:p>
                                                    <w:p w14:paraId="09A59911" w14:textId="77777777" w:rsidR="006A1A7D" w:rsidRPr="006A1A7D" w:rsidRDefault="006A1A7D" w:rsidP="006A1A7D"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18 U.S.C. §1091 (Genocide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Statute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)</w:t>
                                                      </w:r>
                                                    </w:p>
                                                    <w:p w14:paraId="30EDC49E" w14:textId="77777777" w:rsidR="006A1A7D" w:rsidRPr="006A1A7D" w:rsidRDefault="006A1A7D" w:rsidP="006A1A7D">
                                                      <w:proofErr w:type="spellStart"/>
                                                      <w:r w:rsidRPr="006A1A7D">
                                                        <w:t>HRF's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investigative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report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documents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Karni's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participation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religious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structures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Gaza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highlights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public statements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denying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existence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Gaza —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rhetoric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legally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relevant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establishing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genocidal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intent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  <w:p w14:paraId="2C9CB804" w14:textId="77777777" w:rsidR="006A1A7D" w:rsidRPr="006A1A7D" w:rsidRDefault="006A1A7D" w:rsidP="006A1A7D"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lastRenderedPageBreak/>
                                                        <w:t>Notably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, HRF has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already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Karni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in Peru,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where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is open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genocidal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crimes</w:t>
                                                      </w:r>
                                                      <w:r w:rsidRPr="006A1A7D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Additional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filings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have been made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other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as part of a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coordinated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strategy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  <w:p w14:paraId="134C4A65" w14:textId="77777777" w:rsidR="006A1A7D" w:rsidRPr="006A1A7D" w:rsidRDefault="006A1A7D" w:rsidP="006A1A7D">
                                                      <w:proofErr w:type="spellStart"/>
                                                      <w:r w:rsidRPr="006A1A7D">
                                                        <w:t>Karni's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current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United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States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activates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  <w:p w14:paraId="70CECF78" w14:textId="77777777" w:rsidR="006A1A7D" w:rsidRPr="006A1A7D" w:rsidRDefault="006A1A7D" w:rsidP="006A1A7D">
                                                      <w:r w:rsidRPr="006A1A7D">
                                                        <w:t>"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triggers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responsibility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When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individuals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credibly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implicated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crimes are found on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soil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discretionary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rPr>
                                                          <w:i/>
                                                          <w:iCs/>
                                                        </w:rPr>
                                                        <w:t>required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,"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said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Jake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Romm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HRF's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 xml:space="preserve"> U.S. </w:t>
                                                      </w:r>
                                                      <w:proofErr w:type="spellStart"/>
                                                      <w:r w:rsidRPr="006A1A7D">
                                                        <w:t>representative</w:t>
                                                      </w:r>
                                                      <w:proofErr w:type="spellEnd"/>
                                                      <w:r w:rsidRPr="006A1A7D"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CBA89B5" w14:textId="77777777" w:rsidR="006A1A7D" w:rsidRPr="006A1A7D" w:rsidRDefault="006A1A7D" w:rsidP="006A1A7D"/>
                                            </w:tc>
                                          </w:tr>
                                        </w:tbl>
                                        <w:p w14:paraId="03BE0475" w14:textId="77777777" w:rsidR="006A1A7D" w:rsidRPr="006A1A7D" w:rsidRDefault="006A1A7D" w:rsidP="006A1A7D"/>
                                      </w:tc>
                                    </w:tr>
                                  </w:tbl>
                                  <w:p w14:paraId="24D33BDA" w14:textId="77777777" w:rsidR="006A1A7D" w:rsidRPr="006A1A7D" w:rsidRDefault="006A1A7D" w:rsidP="006A1A7D"/>
                                </w:tc>
                              </w:tr>
                            </w:tbl>
                            <w:p w14:paraId="1B53CAC0" w14:textId="77777777" w:rsidR="006A1A7D" w:rsidRPr="006A1A7D" w:rsidRDefault="006A1A7D" w:rsidP="006A1A7D"/>
                          </w:tc>
                        </w:tr>
                      </w:tbl>
                      <w:p w14:paraId="2883AC2F" w14:textId="77777777" w:rsidR="006A1A7D" w:rsidRPr="006A1A7D" w:rsidRDefault="006A1A7D" w:rsidP="006A1A7D"/>
                    </w:tc>
                  </w:tr>
                </w:tbl>
                <w:p w14:paraId="3B022C53" w14:textId="77777777" w:rsidR="006A1A7D" w:rsidRPr="006A1A7D" w:rsidRDefault="006A1A7D" w:rsidP="006A1A7D"/>
              </w:tc>
            </w:tr>
          </w:tbl>
          <w:p w14:paraId="74FC0EE0" w14:textId="77777777" w:rsidR="006A1A7D" w:rsidRPr="006A1A7D" w:rsidRDefault="006A1A7D" w:rsidP="006A1A7D"/>
        </w:tc>
      </w:tr>
    </w:tbl>
    <w:p w14:paraId="3C366136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7D"/>
    <w:rsid w:val="006A1A7D"/>
    <w:rsid w:val="00A13ADC"/>
    <w:rsid w:val="00BE0D22"/>
    <w:rsid w:val="00E67D43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4FE8"/>
  <w15:chartTrackingRefBased/>
  <w15:docId w15:val="{36DA64A3-8392-49E8-8623-378101A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A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A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A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A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A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A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1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A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A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A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A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A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A1A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indrajabfoundation.us12.list-manage.com/track/click?u=3062ea7ff763d1960d0768e27&amp;id=d8c93eddc0&amp;e=6c17b3f50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2824</Characters>
  <Application>Microsoft Office Word</Application>
  <DocSecurity>0</DocSecurity>
  <Lines>91</Lines>
  <Paragraphs>29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2026-02-11T18:17:00Z</dcterms:created>
  <dcterms:modified xsi:type="dcterms:W3CDTF">2026-02-11T18:18:00Z</dcterms:modified>
</cp:coreProperties>
</file>