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EFEBEB"/>
        <w:tblCellMar>
          <w:left w:w="0" w:type="dxa"/>
          <w:right w:w="0" w:type="dxa"/>
        </w:tblCellMar>
        <w:tblLook w:val="04A0" w:firstRow="1" w:lastRow="0" w:firstColumn="1" w:lastColumn="0" w:noHBand="0" w:noVBand="1"/>
      </w:tblPr>
      <w:tblGrid>
        <w:gridCol w:w="9072"/>
      </w:tblGrid>
      <w:tr w:rsidR="00A77999" w:rsidRPr="00A77999" w14:paraId="17BD2384" w14:textId="77777777">
        <w:tc>
          <w:tcPr>
            <w:tcW w:w="9070" w:type="dxa"/>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A77999" w:rsidRPr="00A77999" w14:paraId="431B8573" w14:textId="77777777">
              <w:trPr>
                <w:jc w:val="center"/>
              </w:trPr>
              <w:tc>
                <w:tcPr>
                  <w:tcW w:w="0" w:type="auto"/>
                  <w:shd w:val="clear" w:color="auto" w:fill="04383F"/>
                  <w:tcMar>
                    <w:top w:w="300" w:type="dxa"/>
                    <w:left w:w="0" w:type="dxa"/>
                    <w:bottom w:w="300" w:type="dxa"/>
                    <w:right w:w="0" w:type="dxa"/>
                  </w:tcMar>
                  <w:hideMark/>
                </w:tcPr>
                <w:tbl>
                  <w:tblPr>
                    <w:tblW w:w="9900" w:type="dxa"/>
                    <w:jc w:val="center"/>
                    <w:tblCellMar>
                      <w:left w:w="0" w:type="dxa"/>
                      <w:right w:w="0" w:type="dxa"/>
                    </w:tblCellMar>
                    <w:tblLook w:val="04A0" w:firstRow="1" w:lastRow="0" w:firstColumn="1" w:lastColumn="0" w:noHBand="0" w:noVBand="1"/>
                  </w:tblPr>
                  <w:tblGrid>
                    <w:gridCol w:w="9900"/>
                  </w:tblGrid>
                  <w:tr w:rsidR="00A77999" w:rsidRPr="00A77999" w14:paraId="6C685326"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A77999" w:rsidRPr="00A77999" w14:paraId="7D760778"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A77999" w:rsidRPr="00A77999" w14:paraId="4B451E49"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A77999" w:rsidRPr="00A77999" w14:paraId="1B15A627" w14:textId="77777777">
                                      <w:tc>
                                        <w:tcPr>
                                          <w:tcW w:w="0" w:type="auto"/>
                                          <w:shd w:val="clear" w:color="auto" w:fill="04383F"/>
                                          <w:hideMark/>
                                        </w:tcPr>
                                        <w:tbl>
                                          <w:tblPr>
                                            <w:tblpPr w:leftFromText="45" w:rightFromText="45" w:vertAnchor="text"/>
                                            <w:tblW w:w="2500" w:type="pct"/>
                                            <w:tblCellSpacing w:w="0" w:type="dxa"/>
                                            <w:tblCellMar>
                                              <w:left w:w="0" w:type="dxa"/>
                                              <w:right w:w="0" w:type="dxa"/>
                                            </w:tblCellMar>
                                            <w:tblLook w:val="04A0" w:firstRow="1" w:lastRow="0" w:firstColumn="1" w:lastColumn="0" w:noHBand="0" w:noVBand="1"/>
                                          </w:tblPr>
                                          <w:tblGrid>
                                            <w:gridCol w:w="4950"/>
                                          </w:tblGrid>
                                          <w:tr w:rsidR="00A77999" w:rsidRPr="00A77999" w14:paraId="357412FD" w14:textId="77777777">
                                            <w:trPr>
                                              <w:tblCellSpacing w:w="0" w:type="dxa"/>
                                            </w:trPr>
                                            <w:tc>
                                              <w:tcPr>
                                                <w:tcW w:w="0" w:type="auto"/>
                                                <w:tcBorders>
                                                  <w:top w:val="nil"/>
                                                  <w:left w:val="nil"/>
                                                  <w:bottom w:val="nil"/>
                                                  <w:right w:val="nil"/>
                                                </w:tcBorders>
                                                <w:hideMark/>
                                              </w:tcPr>
                                              <w:p w14:paraId="52DAF84A" w14:textId="77777777" w:rsidR="00A77999" w:rsidRPr="00A77999" w:rsidRDefault="00A77999" w:rsidP="00A77999">
                                                <w:pPr>
                                                  <w:spacing w:after="0" w:line="240" w:lineRule="auto"/>
                                                  <w:rPr>
                                                    <w:rFonts w:ascii="Times New Roman" w:eastAsia="Times New Roman" w:hAnsi="Times New Roman" w:cs="Times New Roman"/>
                                                    <w:kern w:val="0"/>
                                                    <w:lang w:eastAsia="nl-NL"/>
                                                    <w14:ligatures w14:val="none"/>
                                                  </w:rPr>
                                                </w:pPr>
                                                <w:r w:rsidRPr="00A77999">
                                                  <w:rPr>
                                                    <w:rFonts w:ascii="Times New Roman" w:eastAsia="Times New Roman" w:hAnsi="Times New Roman" w:cs="Times New Roman"/>
                                                    <w:noProof/>
                                                    <w:kern w:val="0"/>
                                                    <w:lang w:eastAsia="nl-NL"/>
                                                    <w14:ligatures w14:val="none"/>
                                                  </w:rPr>
                                                  <w:drawing>
                                                    <wp:inline distT="0" distB="0" distL="0" distR="0" wp14:anchorId="4E084A68" wp14:editId="3A1C8AE9">
                                                      <wp:extent cx="3143250" cy="1047750"/>
                                                      <wp:effectExtent l="0" t="0" r="0" b="0"/>
                                                      <wp:docPr id="3" name="Afbeelding 4"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4" descr="Afbeelding met tekst, Lettertype, Graphics, grafische vormgeving&#10;&#10;Door AI gegenereerde inhoud is mogelijk onjuis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43250" cy="1047750"/>
                                                              </a:xfrm>
                                                              <a:prstGeom prst="rect">
                                                                <a:avLst/>
                                                              </a:prstGeom>
                                                              <a:noFill/>
                                                              <a:ln>
                                                                <a:noFill/>
                                                              </a:ln>
                                                            </pic:spPr>
                                                          </pic:pic>
                                                        </a:graphicData>
                                                      </a:graphic>
                                                    </wp:inline>
                                                  </w:drawing>
                                                </w:r>
                                              </w:p>
                                            </w:tc>
                                          </w:tr>
                                        </w:tbl>
                                        <w:p w14:paraId="41094129" w14:textId="77777777" w:rsidR="00A77999" w:rsidRPr="00A77999" w:rsidRDefault="00A77999" w:rsidP="00A77999">
                                          <w:pPr>
                                            <w:spacing w:after="0" w:line="240" w:lineRule="auto"/>
                                            <w:rPr>
                                              <w:rFonts w:ascii="Times New Roman" w:eastAsia="Times New Roman" w:hAnsi="Times New Roman" w:cs="Times New Roman"/>
                                              <w:kern w:val="0"/>
                                              <w:lang w:eastAsia="nl-NL"/>
                                              <w14:ligatures w14:val="none"/>
                                            </w:rPr>
                                          </w:pPr>
                                        </w:p>
                                      </w:tc>
                                    </w:tr>
                                  </w:tbl>
                                  <w:p w14:paraId="2893DAFF" w14:textId="77777777" w:rsidR="00A77999" w:rsidRPr="00A77999" w:rsidRDefault="00A77999" w:rsidP="00A77999">
                                    <w:pPr>
                                      <w:spacing w:after="0" w:line="240" w:lineRule="auto"/>
                                      <w:rPr>
                                        <w:rFonts w:ascii="Times New Roman" w:eastAsia="Times New Roman" w:hAnsi="Times New Roman" w:cs="Times New Roman"/>
                                        <w:kern w:val="0"/>
                                        <w:lang w:eastAsia="nl-NL"/>
                                        <w14:ligatures w14:val="none"/>
                                      </w:rPr>
                                    </w:pPr>
                                  </w:p>
                                </w:tc>
                              </w:tr>
                            </w:tbl>
                            <w:p w14:paraId="35A7B275" w14:textId="77777777" w:rsidR="00A77999" w:rsidRPr="00A77999" w:rsidRDefault="00A77999" w:rsidP="00A77999">
                              <w:pPr>
                                <w:spacing w:after="0" w:line="240" w:lineRule="auto"/>
                                <w:rPr>
                                  <w:rFonts w:ascii="Times New Roman" w:eastAsia="Times New Roman" w:hAnsi="Times New Roman" w:cs="Times New Roman"/>
                                  <w:kern w:val="0"/>
                                  <w:lang w:eastAsia="nl-NL"/>
                                  <w14:ligatures w14:val="none"/>
                                </w:rPr>
                              </w:pPr>
                            </w:p>
                          </w:tc>
                        </w:tr>
                      </w:tbl>
                      <w:p w14:paraId="3409860C" w14:textId="77777777" w:rsidR="00A77999" w:rsidRPr="00A77999" w:rsidRDefault="00A77999" w:rsidP="00A77999">
                        <w:pPr>
                          <w:spacing w:after="0" w:line="240" w:lineRule="auto"/>
                          <w:rPr>
                            <w:rFonts w:ascii="Times New Roman" w:eastAsia="Times New Roman" w:hAnsi="Times New Roman" w:cs="Times New Roman"/>
                            <w:kern w:val="0"/>
                            <w:lang w:eastAsia="nl-NL"/>
                            <w14:ligatures w14:val="none"/>
                          </w:rPr>
                        </w:pPr>
                      </w:p>
                    </w:tc>
                  </w:tr>
                </w:tbl>
                <w:p w14:paraId="794ABC02" w14:textId="77777777" w:rsidR="00A77999" w:rsidRPr="00A77999" w:rsidRDefault="00A77999" w:rsidP="00A77999">
                  <w:pPr>
                    <w:spacing w:after="0" w:line="240" w:lineRule="auto"/>
                    <w:jc w:val="center"/>
                    <w:rPr>
                      <w:rFonts w:ascii="Times New Roman" w:eastAsia="Times New Roman" w:hAnsi="Times New Roman" w:cs="Times New Roman"/>
                      <w:kern w:val="0"/>
                      <w:lang w:eastAsia="nl-NL"/>
                      <w14:ligatures w14:val="none"/>
                    </w:rPr>
                  </w:pPr>
                </w:p>
              </w:tc>
            </w:tr>
            <w:tr w:rsidR="00A77999" w:rsidRPr="00A77999" w14:paraId="5412F16D" w14:textId="77777777">
              <w:trPr>
                <w:jc w:val="center"/>
              </w:trPr>
              <w:tc>
                <w:tcPr>
                  <w:tcW w:w="0" w:type="auto"/>
                  <w:shd w:val="clear" w:color="auto" w:fill="EFEBEB"/>
                  <w:hideMark/>
                </w:tcPr>
                <w:tbl>
                  <w:tblPr>
                    <w:tblW w:w="9900" w:type="dxa"/>
                    <w:jc w:val="center"/>
                    <w:tblCellMar>
                      <w:left w:w="0" w:type="dxa"/>
                      <w:right w:w="0" w:type="dxa"/>
                    </w:tblCellMar>
                    <w:tblLook w:val="04A0" w:firstRow="1" w:lastRow="0" w:firstColumn="1" w:lastColumn="0" w:noHBand="0" w:noVBand="1"/>
                  </w:tblPr>
                  <w:tblGrid>
                    <w:gridCol w:w="9072"/>
                  </w:tblGrid>
                  <w:tr w:rsidR="00A77999" w:rsidRPr="00A77999" w14:paraId="5E565164"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A77999" w:rsidRPr="00A77999" w14:paraId="1710D6EE"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A77999" w:rsidRPr="00A77999" w14:paraId="11CD43D4" w14:textId="77777777">
                                <w:tc>
                                  <w:tcPr>
                                    <w:tcW w:w="5000" w:type="pct"/>
                                    <w:hideMark/>
                                  </w:tcPr>
                                  <w:tbl>
                                    <w:tblPr>
                                      <w:tblW w:w="5000" w:type="pct"/>
                                      <w:tblCellMar>
                                        <w:left w:w="0" w:type="dxa"/>
                                        <w:right w:w="0" w:type="dxa"/>
                                      </w:tblCellMar>
                                      <w:tblLook w:val="04A0" w:firstRow="1" w:lastRow="0" w:firstColumn="1" w:lastColumn="0" w:noHBand="0" w:noVBand="1"/>
                                    </w:tblPr>
                                    <w:tblGrid>
                                      <w:gridCol w:w="9072"/>
                                    </w:tblGrid>
                                    <w:tr w:rsidR="00A77999" w:rsidRPr="00A77999" w14:paraId="31157F45" w14:textId="77777777">
                                      <w:tc>
                                        <w:tcPr>
                                          <w:tcW w:w="0" w:type="auto"/>
                                          <w:shd w:val="clear" w:color="auto" w:fill="EFEBEB"/>
                                          <w:hideMark/>
                                        </w:tcPr>
                                        <w:tbl>
                                          <w:tblPr>
                                            <w:tblW w:w="5000" w:type="pct"/>
                                            <w:tblCellMar>
                                              <w:left w:w="0" w:type="dxa"/>
                                              <w:right w:w="0" w:type="dxa"/>
                                            </w:tblCellMar>
                                            <w:tblLook w:val="04A0" w:firstRow="1" w:lastRow="0" w:firstColumn="1" w:lastColumn="0" w:noHBand="0" w:noVBand="1"/>
                                          </w:tblPr>
                                          <w:tblGrid>
                                            <w:gridCol w:w="9072"/>
                                          </w:tblGrid>
                                          <w:tr w:rsidR="00A77999" w:rsidRPr="00A77999" w14:paraId="2678AA0B" w14:textId="77777777">
                                            <w:trPr>
                                              <w:trHeight w:val="300"/>
                                            </w:trPr>
                                            <w:tc>
                                              <w:tcPr>
                                                <w:tcW w:w="0" w:type="auto"/>
                                                <w:hideMark/>
                                              </w:tcPr>
                                              <w:p w14:paraId="11DB55D6" w14:textId="77777777" w:rsidR="00A77999" w:rsidRPr="00A77999" w:rsidRDefault="00A77999" w:rsidP="00A77999">
                                                <w:pPr>
                                                  <w:spacing w:after="0" w:line="240" w:lineRule="auto"/>
                                                  <w:jc w:val="center"/>
                                                  <w:rPr>
                                                    <w:rFonts w:ascii="Times New Roman" w:eastAsia="Times New Roman" w:hAnsi="Times New Roman" w:cs="Times New Roman"/>
                                                    <w:kern w:val="0"/>
                                                    <w:sz w:val="20"/>
                                                    <w:szCs w:val="20"/>
                                                    <w:lang w:eastAsia="nl-NL"/>
                                                    <w14:ligatures w14:val="none"/>
                                                  </w:rPr>
                                                </w:pPr>
                                              </w:p>
                                            </w:tc>
                                          </w:tr>
                                        </w:tbl>
                                        <w:p w14:paraId="7E201D6B" w14:textId="77777777" w:rsidR="00A77999" w:rsidRPr="00A77999" w:rsidRDefault="00A77999" w:rsidP="00A77999">
                                          <w:pPr>
                                            <w:spacing w:after="0" w:line="240" w:lineRule="auto"/>
                                            <w:rPr>
                                              <w:rFonts w:ascii="Times New Roman" w:eastAsia="Times New Roman" w:hAnsi="Times New Roman" w:cs="Times New Roman"/>
                                              <w:kern w:val="0"/>
                                              <w:lang w:eastAsia="nl-NL"/>
                                              <w14:ligatures w14:val="none"/>
                                            </w:rPr>
                                          </w:pPr>
                                        </w:p>
                                      </w:tc>
                                    </w:tr>
                                    <w:tr w:rsidR="00A77999" w:rsidRPr="00A77999" w14:paraId="74E30B97" w14:textId="77777777">
                                      <w:tc>
                                        <w:tcPr>
                                          <w:tcW w:w="0" w:type="auto"/>
                                          <w:tcMar>
                                            <w:top w:w="300" w:type="dxa"/>
                                            <w:left w:w="300" w:type="dxa"/>
                                            <w:bottom w:w="300" w:type="dxa"/>
                                            <w:right w:w="300" w:type="dxa"/>
                                          </w:tcMar>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8472"/>
                                          </w:tblGrid>
                                          <w:tr w:rsidR="00A77999" w:rsidRPr="00A77999" w14:paraId="08BF723D" w14:textId="77777777">
                                            <w:trPr>
                                              <w:tblCellSpacing w:w="0" w:type="dxa"/>
                                            </w:trPr>
                                            <w:tc>
                                              <w:tcPr>
                                                <w:tcW w:w="0" w:type="auto"/>
                                                <w:tcBorders>
                                                  <w:top w:val="nil"/>
                                                  <w:left w:val="nil"/>
                                                  <w:bottom w:val="nil"/>
                                                  <w:right w:val="nil"/>
                                                </w:tcBorders>
                                                <w:hideMark/>
                                              </w:tcPr>
                                              <w:p w14:paraId="20C0350A" w14:textId="77777777" w:rsidR="00A77999" w:rsidRPr="00A77999" w:rsidRDefault="00A77999" w:rsidP="00A77999">
                                                <w:pPr>
                                                  <w:spacing w:after="0" w:line="240" w:lineRule="auto"/>
                                                  <w:rPr>
                                                    <w:rFonts w:ascii="Times New Roman" w:eastAsia="Times New Roman" w:hAnsi="Times New Roman" w:cs="Times New Roman"/>
                                                    <w:kern w:val="0"/>
                                                    <w:lang w:eastAsia="nl-NL"/>
                                                    <w14:ligatures w14:val="none"/>
                                                  </w:rPr>
                                                </w:pPr>
                                                <w:r w:rsidRPr="00A77999">
                                                  <w:rPr>
                                                    <w:rFonts w:ascii="Times New Roman" w:eastAsia="Times New Roman" w:hAnsi="Times New Roman" w:cs="Times New Roman"/>
                                                    <w:noProof/>
                                                    <w:kern w:val="0"/>
                                                    <w:lang w:eastAsia="nl-NL"/>
                                                    <w14:ligatures w14:val="none"/>
                                                  </w:rPr>
                                                  <w:drawing>
                                                    <wp:inline distT="0" distB="0" distL="0" distR="0" wp14:anchorId="4595B841" wp14:editId="70C469D2">
                                                      <wp:extent cx="5905500" cy="3930650"/>
                                                      <wp:effectExtent l="0" t="0" r="0" b="0"/>
                                                      <wp:docPr id="4" name="Afbeelding 3" descr="Afbeelding met Menselijk gezicht, persoon, kleding, glimlach&#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descr="Afbeelding met Menselijk gezicht, persoon, kleding, glimlach&#10;&#10;Door AI gegenereerde inhoud is mogelijk onjui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500" cy="3930650"/>
                                                              </a:xfrm>
                                                              <a:prstGeom prst="rect">
                                                                <a:avLst/>
                                                              </a:prstGeom>
                                                              <a:noFill/>
                                                              <a:ln>
                                                                <a:noFill/>
                                                              </a:ln>
                                                            </pic:spPr>
                                                          </pic:pic>
                                                        </a:graphicData>
                                                      </a:graphic>
                                                    </wp:inline>
                                                  </w:drawing>
                                                </w:r>
                                              </w:p>
                                            </w:tc>
                                          </w:tr>
                                        </w:tbl>
                                        <w:p w14:paraId="338E4B14" w14:textId="77777777" w:rsidR="00A77999" w:rsidRPr="00A77999" w:rsidRDefault="00A77999" w:rsidP="00A77999">
                                          <w:pPr>
                                            <w:spacing w:after="0" w:line="240" w:lineRule="auto"/>
                                            <w:rPr>
                                              <w:rFonts w:ascii="Times New Roman" w:eastAsia="Times New Roman" w:hAnsi="Times New Roman" w:cs="Times New Roman"/>
                                              <w:kern w:val="0"/>
                                              <w:lang w:eastAsia="nl-NL"/>
                                              <w14:ligatures w14:val="none"/>
                                            </w:rPr>
                                          </w:pPr>
                                        </w:p>
                                      </w:tc>
                                    </w:tr>
                                    <w:tr w:rsidR="00A77999" w:rsidRPr="00A77999" w14:paraId="36ADF15F" w14:textId="77777777">
                                      <w:tc>
                                        <w:tcPr>
                                          <w:tcW w:w="0" w:type="auto"/>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A77999" w:rsidRPr="00A77999" w14:paraId="5F3DC4D4" w14:textId="77777777">
                                            <w:trPr>
                                              <w:tblCellSpacing w:w="15" w:type="dxa"/>
                                            </w:trPr>
                                            <w:tc>
                                              <w:tcPr>
                                                <w:tcW w:w="0" w:type="auto"/>
                                                <w:tcMar>
                                                  <w:top w:w="180" w:type="dxa"/>
                                                  <w:left w:w="360" w:type="dxa"/>
                                                  <w:bottom w:w="180" w:type="dxa"/>
                                                  <w:right w:w="360" w:type="dxa"/>
                                                </w:tcMar>
                                                <w:vAlign w:val="center"/>
                                                <w:hideMark/>
                                              </w:tcPr>
                                              <w:p w14:paraId="45408B14"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p>
                                              <w:p w14:paraId="58245568"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b/>
                                                    <w:bCs/>
                                                    <w:color w:val="343840"/>
                                                    <w:kern w:val="0"/>
                                                    <w:lang w:eastAsia="nl-NL"/>
                                                    <w14:ligatures w14:val="none"/>
                                                  </w:rPr>
                                                  <w:t>The Hind Rajab Foundation</w:t>
                                                </w:r>
                                                <w:r w:rsidRPr="00A77999">
                                                  <w:rPr>
                                                    <w:rFonts w:ascii="Helvetica" w:eastAsia="Times New Roman" w:hAnsi="Helvetica" w:cs="Helvetica"/>
                                                    <w:color w:val="343840"/>
                                                    <w:kern w:val="0"/>
                                                    <w:lang w:eastAsia="nl-NL"/>
                                                    <w14:ligatures w14:val="none"/>
                                                  </w:rPr>
                                                  <w:t>, together with the </w:t>
                                                </w:r>
                                                <w:r w:rsidRPr="00A77999">
                                                  <w:rPr>
                                                    <w:rFonts w:ascii="Helvetica" w:eastAsia="Times New Roman" w:hAnsi="Helvetica" w:cs="Helvetica"/>
                                                    <w:b/>
                                                    <w:bCs/>
                                                    <w:color w:val="343840"/>
                                                    <w:kern w:val="0"/>
                                                    <w:lang w:eastAsia="nl-NL"/>
                                                    <w14:ligatures w14:val="none"/>
                                                  </w:rPr>
                                                  <w:t>Palestinian Center for Human Rights</w:t>
                                                </w:r>
                                                <w:r w:rsidRPr="00A77999">
                                                  <w:rPr>
                                                    <w:rFonts w:ascii="Helvetica" w:eastAsia="Times New Roman" w:hAnsi="Helvetica" w:cs="Helvetica"/>
                                                    <w:color w:val="343840"/>
                                                    <w:kern w:val="0"/>
                                                    <w:lang w:eastAsia="nl-NL"/>
                                                    <w14:ligatures w14:val="none"/>
                                                  </w:rPr>
                                                  <w:t>, has filed a powerful case at the International Criminal Court naming the Israeli military and political figures behind the assassination of Al Jazeera journalist Anas Al-Sharif and his colleagues. This unprecedented complaint identifies top commanders—</w:t>
                                                </w:r>
                                                <w:r w:rsidRPr="00A77999">
                                                  <w:rPr>
                                                    <w:rFonts w:ascii="Helvetica" w:eastAsia="Times New Roman" w:hAnsi="Helvetica" w:cs="Helvetica"/>
                                                    <w:b/>
                                                    <w:bCs/>
                                                    <w:color w:val="343840"/>
                                                    <w:kern w:val="0"/>
                                                    <w:lang w:eastAsia="nl-NL"/>
                                                    <w14:ligatures w14:val="none"/>
                                                  </w:rPr>
                                                  <w:t>Lt.-Gen. Eyal Zamir, Maj.-Gen. Tomer Bar, Maj.-Gen. Yaniv Asor, Brig.-Gen. Yossi Sariel, the Palmachim Airbase Commander, the "Black Snake" Squadron Commander, and Col. Avichay Adraee</w:t>
                                                </w:r>
                                                <w:r w:rsidRPr="00A77999">
                                                  <w:rPr>
                                                    <w:rFonts w:ascii="Helvetica" w:eastAsia="Times New Roman" w:hAnsi="Helvetica" w:cs="Helvetica"/>
                                                    <w:color w:val="343840"/>
                                                    <w:kern w:val="0"/>
                                                    <w:lang w:eastAsia="nl-NL"/>
                                                    <w14:ligatures w14:val="none"/>
                                                  </w:rPr>
                                                  <w:t>—and demands their immediate arrest. It also calls for expanding Benjamin Netanyahu's arrest warrant to include crimes against journalists, framing these killings as part of a systematic effort to erase witnesses and silence the truth from Gaza.</w:t>
                                                </w:r>
                                              </w:p>
                                              <w:p w14:paraId="04ED5A24"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p>
                                              <w:p w14:paraId="20A7C503"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b/>
                                                    <w:bCs/>
                                                    <w:color w:val="343840"/>
                                                    <w:kern w:val="0"/>
                                                    <w:lang w:eastAsia="nl-NL"/>
                                                    <w14:ligatures w14:val="none"/>
                                                  </w:rPr>
                                                  <w:t>Read the full press release below.</w:t>
                                                </w:r>
                                              </w:p>
                                            </w:tc>
                                          </w:tr>
                                        </w:tbl>
                                        <w:p w14:paraId="5FB4D075" w14:textId="77777777" w:rsidR="00A77999" w:rsidRPr="00A77999" w:rsidRDefault="00A77999" w:rsidP="00A77999">
                                          <w:pPr>
                                            <w:spacing w:after="0" w:line="240" w:lineRule="auto"/>
                                            <w:rPr>
                                              <w:rFonts w:ascii="Times New Roman" w:eastAsia="Times New Roman" w:hAnsi="Times New Roman" w:cs="Times New Roman"/>
                                              <w:kern w:val="0"/>
                                              <w:lang w:eastAsia="nl-NL"/>
                                              <w14:ligatures w14:val="none"/>
                                            </w:rPr>
                                          </w:pPr>
                                        </w:p>
                                      </w:tc>
                                    </w:tr>
                                    <w:tr w:rsidR="00A77999" w:rsidRPr="00A77999" w14:paraId="21ADA0BF" w14:textId="77777777">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A77999" w:rsidRPr="00A77999" w14:paraId="1E676B64" w14:textId="77777777">
                                            <w:trPr>
                                              <w:trHeight w:val="200"/>
                                            </w:trPr>
                                            <w:tc>
                                              <w:tcPr>
                                                <w:tcW w:w="0" w:type="auto"/>
                                                <w:hideMark/>
                                              </w:tcPr>
                                              <w:p w14:paraId="4A118D52" w14:textId="77777777" w:rsidR="00A77999" w:rsidRPr="00A77999" w:rsidRDefault="00A77999" w:rsidP="00A77999">
                                                <w:pPr>
                                                  <w:spacing w:after="0" w:line="240" w:lineRule="auto"/>
                                                  <w:rPr>
                                                    <w:rFonts w:ascii="Times New Roman" w:eastAsia="Times New Roman" w:hAnsi="Times New Roman" w:cs="Times New Roman"/>
                                                    <w:kern w:val="0"/>
                                                    <w:sz w:val="20"/>
                                                    <w:szCs w:val="20"/>
                                                    <w:lang w:eastAsia="nl-NL"/>
                                                    <w14:ligatures w14:val="none"/>
                                                  </w:rPr>
                                                </w:pPr>
                                              </w:p>
                                            </w:tc>
                                          </w:tr>
                                        </w:tbl>
                                        <w:p w14:paraId="008FA4B0" w14:textId="77777777" w:rsidR="00A77999" w:rsidRPr="00A77999" w:rsidRDefault="00A77999" w:rsidP="00A77999">
                                          <w:pPr>
                                            <w:spacing w:after="0" w:line="240" w:lineRule="auto"/>
                                            <w:rPr>
                                              <w:rFonts w:ascii="Times New Roman" w:eastAsia="Times New Roman" w:hAnsi="Times New Roman" w:cs="Times New Roman"/>
                                              <w:kern w:val="0"/>
                                              <w:lang w:eastAsia="nl-NL"/>
                                              <w14:ligatures w14:val="none"/>
                                            </w:rPr>
                                          </w:pPr>
                                        </w:p>
                                      </w:tc>
                                    </w:tr>
                                    <w:tr w:rsidR="00A77999" w:rsidRPr="00A77999" w14:paraId="6AD9D407" w14:textId="77777777">
                                      <w:tc>
                                        <w:tcPr>
                                          <w:tcW w:w="0" w:type="auto"/>
                                          <w:tcMar>
                                            <w:top w:w="180" w:type="dxa"/>
                                            <w:left w:w="180" w:type="dxa"/>
                                            <w:bottom w:w="180" w:type="dxa"/>
                                            <w:right w:w="180" w:type="dxa"/>
                                          </w:tcMar>
                                          <w:hideMark/>
                                        </w:tcPr>
                                        <w:tbl>
                                          <w:tblPr>
                                            <w:tblW w:w="0" w:type="auto"/>
                                            <w:jc w:val="center"/>
                                            <w:tblCellMar>
                                              <w:left w:w="0" w:type="dxa"/>
                                              <w:right w:w="0" w:type="dxa"/>
                                            </w:tblCellMar>
                                            <w:tblLook w:val="04A0" w:firstRow="1" w:lastRow="0" w:firstColumn="1" w:lastColumn="0" w:noHBand="0" w:noVBand="1"/>
                                          </w:tblPr>
                                          <w:tblGrid>
                                            <w:gridCol w:w="2911"/>
                                          </w:tblGrid>
                                          <w:tr w:rsidR="00A77999" w:rsidRPr="00A77999" w14:paraId="1F617C56" w14:textId="77777777">
                                            <w:trPr>
                                              <w:jc w:val="center"/>
                                            </w:trPr>
                                            <w:tc>
                                              <w:tcPr>
                                                <w:tcW w:w="0" w:type="auto"/>
                                                <w:shd w:val="clear" w:color="auto" w:fill="FFF960"/>
                                                <w:hideMark/>
                                              </w:tcPr>
                                              <w:p w14:paraId="1CFC8AB1" w14:textId="77777777" w:rsidR="00A77999" w:rsidRPr="00A77999" w:rsidRDefault="00A77999" w:rsidP="00A77999">
                                                <w:pPr>
                                                  <w:spacing w:after="0" w:line="240" w:lineRule="auto"/>
                                                  <w:jc w:val="center"/>
                                                  <w:rPr>
                                                    <w:rFonts w:ascii="Times New Roman" w:eastAsia="Times New Roman" w:hAnsi="Times New Roman" w:cs="Times New Roman"/>
                                                    <w:kern w:val="0"/>
                                                    <w:lang w:eastAsia="nl-NL"/>
                                                    <w14:ligatures w14:val="none"/>
                                                  </w:rPr>
                                                </w:pPr>
                                                <w:hyperlink r:id="rId6" w:tgtFrame="_blank" w:history="1">
                                                  <w:r w:rsidRPr="00A77999">
                                                    <w:rPr>
                                                      <w:rFonts w:ascii="Helvetica" w:eastAsia="Times New Roman" w:hAnsi="Helvetica" w:cs="Helvetica"/>
                                                      <w:b/>
                                                      <w:bCs/>
                                                      <w:color w:val="343840"/>
                                                      <w:kern w:val="0"/>
                                                      <w:sz w:val="27"/>
                                                      <w:szCs w:val="27"/>
                                                      <w:u w:val="single"/>
                                                      <w:bdr w:val="none" w:sz="0" w:space="0" w:color="auto" w:frame="1"/>
                                                      <w:shd w:val="clear" w:color="auto" w:fill="FFF960"/>
                                                      <w:lang w:eastAsia="nl-NL"/>
                                                      <w14:ligatures w14:val="none"/>
                                                    </w:rPr>
                                                    <w:t>SUPPORT OUR WORK</w:t>
                                                  </w:r>
                                                </w:hyperlink>
                                              </w:p>
                                            </w:tc>
                                          </w:tr>
                                        </w:tbl>
                                        <w:p w14:paraId="79EBAAC5" w14:textId="77777777" w:rsidR="00A77999" w:rsidRPr="00A77999" w:rsidRDefault="00A77999" w:rsidP="00A77999">
                                          <w:pPr>
                                            <w:spacing w:after="0" w:line="240" w:lineRule="auto"/>
                                            <w:jc w:val="center"/>
                                            <w:rPr>
                                              <w:rFonts w:ascii="Times New Roman" w:eastAsia="Times New Roman" w:hAnsi="Times New Roman" w:cs="Times New Roman"/>
                                              <w:vanish/>
                                              <w:kern w:val="0"/>
                                              <w:lang w:eastAsia="nl-NL"/>
                                              <w14:ligatures w14:val="none"/>
                                            </w:rPr>
                                          </w:pPr>
                                        </w:p>
                                        <w:tbl>
                                          <w:tblPr>
                                            <w:tblW w:w="0" w:type="auto"/>
                                            <w:jc w:val="center"/>
                                            <w:tblCellMar>
                                              <w:left w:w="0" w:type="dxa"/>
                                              <w:right w:w="0" w:type="dxa"/>
                                            </w:tblCellMar>
                                            <w:tblLook w:val="04A0" w:firstRow="1" w:lastRow="0" w:firstColumn="1" w:lastColumn="0" w:noHBand="0" w:noVBand="1"/>
                                          </w:tblPr>
                                          <w:tblGrid>
                                            <w:gridCol w:w="6"/>
                                          </w:tblGrid>
                                          <w:tr w:rsidR="00A77999" w:rsidRPr="00A77999" w14:paraId="54D29EA0" w14:textId="77777777">
                                            <w:trPr>
                                              <w:jc w:val="center"/>
                                            </w:trPr>
                                            <w:tc>
                                              <w:tcPr>
                                                <w:tcW w:w="0" w:type="auto"/>
                                                <w:vAlign w:val="center"/>
                                                <w:hideMark/>
                                              </w:tcPr>
                                              <w:p w14:paraId="6103409D" w14:textId="77777777" w:rsidR="00A77999" w:rsidRPr="00A77999" w:rsidRDefault="00A77999" w:rsidP="00A77999">
                                                <w:pPr>
                                                  <w:spacing w:after="0" w:line="240" w:lineRule="auto"/>
                                                  <w:jc w:val="center"/>
                                                  <w:rPr>
                                                    <w:rFonts w:ascii="Times New Roman" w:eastAsia="Times New Roman" w:hAnsi="Times New Roman" w:cs="Times New Roman"/>
                                                    <w:kern w:val="0"/>
                                                    <w:lang w:eastAsia="nl-NL"/>
                                                    <w14:ligatures w14:val="none"/>
                                                  </w:rPr>
                                                </w:pPr>
                                              </w:p>
                                            </w:tc>
                                          </w:tr>
                                        </w:tbl>
                                        <w:p w14:paraId="2F1C46EE" w14:textId="77777777" w:rsidR="00A77999" w:rsidRPr="00A77999" w:rsidRDefault="00A77999" w:rsidP="00A77999">
                                          <w:pPr>
                                            <w:spacing w:after="0" w:line="240" w:lineRule="auto"/>
                                            <w:jc w:val="center"/>
                                            <w:rPr>
                                              <w:rFonts w:ascii="Times New Roman" w:eastAsia="Times New Roman" w:hAnsi="Times New Roman" w:cs="Times New Roman"/>
                                              <w:kern w:val="0"/>
                                              <w:lang w:eastAsia="nl-NL"/>
                                              <w14:ligatures w14:val="none"/>
                                            </w:rPr>
                                          </w:pPr>
                                        </w:p>
                                      </w:tc>
                                    </w:tr>
                                    <w:tr w:rsidR="00A77999" w:rsidRPr="00A77999" w14:paraId="1B990D45" w14:textId="77777777">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A77999" w:rsidRPr="00A77999" w14:paraId="642A88A7" w14:textId="77777777">
                                            <w:trPr>
                                              <w:trHeight w:val="200"/>
                                            </w:trPr>
                                            <w:tc>
                                              <w:tcPr>
                                                <w:tcW w:w="0" w:type="auto"/>
                                                <w:hideMark/>
                                              </w:tcPr>
                                              <w:p w14:paraId="41A7F9E4" w14:textId="77777777" w:rsidR="00A77999" w:rsidRPr="00A77999" w:rsidRDefault="00A77999" w:rsidP="00A77999">
                                                <w:pPr>
                                                  <w:spacing w:after="0" w:line="240" w:lineRule="auto"/>
                                                  <w:jc w:val="center"/>
                                                  <w:rPr>
                                                    <w:rFonts w:ascii="Times New Roman" w:eastAsia="Times New Roman" w:hAnsi="Times New Roman" w:cs="Times New Roman"/>
                                                    <w:kern w:val="0"/>
                                                    <w:sz w:val="20"/>
                                                    <w:szCs w:val="20"/>
                                                    <w:lang w:eastAsia="nl-NL"/>
                                                    <w14:ligatures w14:val="none"/>
                                                  </w:rPr>
                                                </w:pPr>
                                              </w:p>
                                            </w:tc>
                                          </w:tr>
                                        </w:tbl>
                                        <w:p w14:paraId="4EC94CED" w14:textId="77777777" w:rsidR="00A77999" w:rsidRPr="00A77999" w:rsidRDefault="00A77999" w:rsidP="00A77999">
                                          <w:pPr>
                                            <w:spacing w:after="0" w:line="240" w:lineRule="auto"/>
                                            <w:rPr>
                                              <w:rFonts w:ascii="Times New Roman" w:eastAsia="Times New Roman" w:hAnsi="Times New Roman" w:cs="Times New Roman"/>
                                              <w:kern w:val="0"/>
                                              <w:lang w:eastAsia="nl-NL"/>
                                              <w14:ligatures w14:val="none"/>
                                            </w:rPr>
                                          </w:pPr>
                                        </w:p>
                                      </w:tc>
                                    </w:tr>
                                    <w:tr w:rsidR="00A77999" w:rsidRPr="00A77999" w14:paraId="4DD572DE" w14:textId="77777777">
                                      <w:tc>
                                        <w:tcPr>
                                          <w:tcW w:w="0" w:type="auto"/>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A77999" w:rsidRPr="00A77999" w14:paraId="423084FE" w14:textId="77777777">
                                            <w:trPr>
                                              <w:tblCellSpacing w:w="15" w:type="dxa"/>
                                            </w:trPr>
                                            <w:tc>
                                              <w:tcPr>
                                                <w:tcW w:w="0" w:type="auto"/>
                                                <w:tcMar>
                                                  <w:top w:w="180" w:type="dxa"/>
                                                  <w:left w:w="360" w:type="dxa"/>
                                                  <w:bottom w:w="180" w:type="dxa"/>
                                                  <w:right w:w="360" w:type="dxa"/>
                                                </w:tcMar>
                                                <w:vAlign w:val="center"/>
                                                <w:hideMark/>
                                              </w:tcPr>
                                              <w:p w14:paraId="599EDC7E"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By any measure, </w:t>
                                                </w:r>
                                                <w:r w:rsidRPr="00A77999">
                                                  <w:rPr>
                                                    <w:rFonts w:ascii="Helvetica" w:eastAsia="Times New Roman" w:hAnsi="Helvetica" w:cs="Helvetica"/>
                                                    <w:b/>
                                                    <w:bCs/>
                                                    <w:color w:val="343840"/>
                                                    <w:kern w:val="0"/>
                                                    <w:lang w:eastAsia="nl-NL"/>
                                                    <w14:ligatures w14:val="none"/>
                                                  </w:rPr>
                                                  <w:t>Anas Al-Sharif </w:t>
                                                </w:r>
                                                <w:r w:rsidRPr="00A77999">
                                                  <w:rPr>
                                                    <w:rFonts w:ascii="Helvetica" w:eastAsia="Times New Roman" w:hAnsi="Helvetica" w:cs="Helvetica"/>
                                                    <w:color w:val="343840"/>
                                                    <w:kern w:val="0"/>
                                                    <w:lang w:eastAsia="nl-NL"/>
                                                    <w14:ligatures w14:val="none"/>
                                                  </w:rPr>
                                                  <w:t>should still be alive.</w:t>
                                                </w:r>
                                              </w:p>
                                              <w:p w14:paraId="3E7DB21A"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On the morning of 10 August 2025, the 28-year-old Al Jazeera Arabic correspondent was doing what he had done since the first days of the Gaza onslaught—reporting from the frontlines, armed only with a camera and a press vest. Outside the main gate of Al Shifa Hospital, in one of the last corners of northern Gaza where journalists could still work, Al-Sharif was filing footage of bombardments that shook the streets around him. Moments later, a missile struck the tent where he and his colleagues were sheltering.</w:t>
                                                </w:r>
                                              </w:p>
                                              <w:p w14:paraId="77267199"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Seven people died instantly. Among them: Mohammed Qreiqeh, Ibrahim Zaher, Mohammed Noufal, and Moamen Aliwa—four Al Jazeera journalists who, like Al-Sharif, had refused to stop documenting the Genocide. Mohammed Al-Khaldi, also a journalist who worked for Sahat Media Platform, and Saad Jundiya, a Palestinian civilian who happened to be present in the scene at the time of attack were also killed.</w:t>
                                                </w:r>
                                              </w:p>
                                              <w:p w14:paraId="18E0F8D7"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b/>
                                                    <w:bCs/>
                                                    <w:color w:val="343840"/>
                                                    <w:kern w:val="0"/>
                                                    <w:lang w:eastAsia="nl-NL"/>
                                                    <w14:ligatures w14:val="none"/>
                                                  </w:rPr>
                                                  <w:t>The Israeli military would later admit the strike was deliberate. </w:t>
                                                </w:r>
                                                <w:r w:rsidRPr="00A77999">
                                                  <w:rPr>
                                                    <w:rFonts w:ascii="Helvetica" w:eastAsia="Times New Roman" w:hAnsi="Helvetica" w:cs="Helvetica"/>
                                                    <w:color w:val="343840"/>
                                                    <w:kern w:val="0"/>
                                                    <w:lang w:eastAsia="nl-NL"/>
                                                    <w14:ligatures w14:val="none"/>
                                                  </w:rPr>
                                                  <w:t>Their justification? The same recycled accusation used in killing over 220 journalists since October 2023: that the victims were "terrorists in press vests."</w:t>
                                                </w:r>
                                              </w:p>
                                              <w:p w14:paraId="09B70622"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For the </w:t>
                                                </w:r>
                                                <w:r w:rsidRPr="00A77999">
                                                  <w:rPr>
                                                    <w:rFonts w:ascii="Helvetica" w:eastAsia="Times New Roman" w:hAnsi="Helvetica" w:cs="Helvetica"/>
                                                    <w:b/>
                                                    <w:bCs/>
                                                    <w:color w:val="343840"/>
                                                    <w:kern w:val="0"/>
                                                    <w:lang w:eastAsia="nl-NL"/>
                                                    <w14:ligatures w14:val="none"/>
                                                  </w:rPr>
                                                  <w:t>Hind Rajab Foundation </w:t>
                                                </w:r>
                                                <w:r w:rsidRPr="00A77999">
                                                  <w:rPr>
                                                    <w:rFonts w:ascii="Helvetica" w:eastAsia="Times New Roman" w:hAnsi="Helvetica" w:cs="Helvetica"/>
                                                    <w:color w:val="343840"/>
                                                    <w:kern w:val="0"/>
                                                    <w:lang w:eastAsia="nl-NL"/>
                                                    <w14:ligatures w14:val="none"/>
                                                  </w:rPr>
                                                  <w:t>(HRF) and the</w:t>
                                                </w:r>
                                                <w:r w:rsidRPr="00A77999">
                                                  <w:rPr>
                                                    <w:rFonts w:ascii="Helvetica" w:eastAsia="Times New Roman" w:hAnsi="Helvetica" w:cs="Helvetica"/>
                                                    <w:b/>
                                                    <w:bCs/>
                                                    <w:color w:val="343840"/>
                                                    <w:kern w:val="0"/>
                                                    <w:lang w:eastAsia="nl-NL"/>
                                                    <w14:ligatures w14:val="none"/>
                                                  </w:rPr>
                                                  <w:t> Palestinian Center for Human Rights </w:t>
                                                </w:r>
                                                <w:r w:rsidRPr="00A77999">
                                                  <w:rPr>
                                                    <w:rFonts w:ascii="Helvetica" w:eastAsia="Times New Roman" w:hAnsi="Helvetica" w:cs="Helvetica"/>
                                                    <w:color w:val="343840"/>
                                                    <w:kern w:val="0"/>
                                                    <w:lang w:eastAsia="nl-NL"/>
                                                    <w14:ligatures w14:val="none"/>
                                                  </w:rPr>
                                                  <w:t>(PCHR), this was not just another tragedy in a long war on the press. This was a clear-cut criminal act—a war crime and part of a broader genocidal campaign—and it demanded a direct, targeted legal response.</w:t>
                                                </w:r>
                                              </w:p>
                                              <w:p w14:paraId="4D72F867"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p>
                                              <w:p w14:paraId="4EB06E25"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b/>
                                                    <w:bCs/>
                                                    <w:color w:val="343840"/>
                                                    <w:kern w:val="0"/>
                                                    <w:lang w:eastAsia="nl-NL"/>
                                                    <w14:ligatures w14:val="none"/>
                                                  </w:rPr>
                                                  <w:t>A Joint Case to The Hague</w:t>
                                                </w:r>
                                              </w:p>
                                              <w:p w14:paraId="617E5C67"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p>
                                              <w:p w14:paraId="47ABC8E3"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The new </w:t>
                                                </w:r>
                                                <w:r w:rsidRPr="00A77999">
                                                  <w:rPr>
                                                    <w:rFonts w:ascii="Helvetica" w:eastAsia="Times New Roman" w:hAnsi="Helvetica" w:cs="Helvetica"/>
                                                    <w:b/>
                                                    <w:bCs/>
                                                    <w:color w:val="343840"/>
                                                    <w:kern w:val="0"/>
                                                    <w:lang w:eastAsia="nl-NL"/>
                                                    <w14:ligatures w14:val="none"/>
                                                  </w:rPr>
                                                  <w:t>Article 15 Communication</w:t>
                                                </w:r>
                                                <w:r w:rsidRPr="00A77999">
                                                  <w:rPr>
                                                    <w:rFonts w:ascii="Helvetica" w:eastAsia="Times New Roman" w:hAnsi="Helvetica" w:cs="Helvetica"/>
                                                    <w:color w:val="343840"/>
                                                    <w:kern w:val="0"/>
                                                    <w:lang w:eastAsia="nl-NL"/>
                                                    <w14:ligatures w14:val="none"/>
                                                  </w:rPr>
                                                  <w:t> to the International Criminal Court was filed jointly by HRF and PCHR. While HRF focused its investigation on the chain of command and operational decisions that led to Al-Sharif's killing, PCHR brought to the case its meticulous documentation of the other Al Jazeera journalists killed in Gaza—cases that fit the same pattern of premeditation and deliberate targeting.</w:t>
                                                </w:r>
                                              </w:p>
                                              <w:p w14:paraId="244694C4"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PCHR's files cover the assassinations of Hussam Shabat, Ismail Al-Ghoul, Ahmed Al-Louh, Hamza Wael Al-Dahdouh, and Samer Abu Daqa, among others—all journalists marked by Israel as "terrorists" before being eliminated in targeted strikes. These cases show that Al-Sharif's killing was not an isolated event but part of an established policy.</w:t>
                                                </w:r>
                                              </w:p>
                                              <w:p w14:paraId="42C5F70C"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p>
                                              <w:p w14:paraId="3FA36B04"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b/>
                                                    <w:bCs/>
                                                    <w:color w:val="343840"/>
                                                    <w:kern w:val="0"/>
                                                    <w:lang w:eastAsia="nl-NL"/>
                                                    <w14:ligatures w14:val="none"/>
                                                  </w:rPr>
                                                  <w:t>Following the Chain of Command</w:t>
                                                </w:r>
                                              </w:p>
                                              <w:p w14:paraId="7B4D4241"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p>
                                              <w:p w14:paraId="5DF3B498"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When HRF investigators began reconstructing the strike, they followed the trail from the moment a drone camera locked onto Al-Sharif's position to the instant the missile hit.</w:t>
                                                </w:r>
                                              </w:p>
                                              <w:p w14:paraId="69640428"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Using operational patterns, signals intelligence reports, and expert military analysis, the foundation identified the chain of command behind the killing:</w:t>
                                                </w:r>
                                              </w:p>
                                              <w:p w14:paraId="3D0063AC"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b/>
                                                    <w:bCs/>
                                                    <w:color w:val="343840"/>
                                                    <w:kern w:val="0"/>
                                                    <w:lang w:eastAsia="nl-NL"/>
                                                    <w14:ligatures w14:val="none"/>
                                                  </w:rPr>
                                                  <w:t>Lt.-Gen. Eyal Zamir</w:t>
                                                </w:r>
                                                <w:r w:rsidRPr="00A77999">
                                                  <w:rPr>
                                                    <w:rFonts w:ascii="Helvetica" w:eastAsia="Times New Roman" w:hAnsi="Helvetica" w:cs="Helvetica"/>
                                                    <w:color w:val="343840"/>
                                                    <w:kern w:val="0"/>
                                                    <w:lang w:eastAsia="nl-NL"/>
                                                    <w14:ligatures w14:val="none"/>
                                                  </w:rPr>
                                                  <w:t> – IDF Chief of the General Staff</w:t>
                                                </w:r>
                                              </w:p>
                                              <w:p w14:paraId="52FCA1F6"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b/>
                                                    <w:bCs/>
                                                    <w:color w:val="343840"/>
                                                    <w:kern w:val="0"/>
                                                    <w:lang w:eastAsia="nl-NL"/>
                                                    <w14:ligatures w14:val="none"/>
                                                  </w:rPr>
                                                  <w:t>Maj.-Gen. Tomer Bar</w:t>
                                                </w:r>
                                                <w:r w:rsidRPr="00A77999">
                                                  <w:rPr>
                                                    <w:rFonts w:ascii="Helvetica" w:eastAsia="Times New Roman" w:hAnsi="Helvetica" w:cs="Helvetica"/>
                                                    <w:color w:val="343840"/>
                                                    <w:kern w:val="0"/>
                                                    <w:lang w:eastAsia="nl-NL"/>
                                                    <w14:ligatures w14:val="none"/>
                                                  </w:rPr>
                                                  <w:t> – Commander of the Israeli Air Force</w:t>
                                                </w:r>
                                              </w:p>
                                              <w:p w14:paraId="40DE4A76"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b/>
                                                    <w:bCs/>
                                                    <w:color w:val="343840"/>
                                                    <w:kern w:val="0"/>
                                                    <w:lang w:eastAsia="nl-NL"/>
                                                    <w14:ligatures w14:val="none"/>
                                                  </w:rPr>
                                                  <w:t>Maj.-Gen. Yaniv Asor</w:t>
                                                </w:r>
                                                <w:r w:rsidRPr="00A77999">
                                                  <w:rPr>
                                                    <w:rFonts w:ascii="Helvetica" w:eastAsia="Times New Roman" w:hAnsi="Helvetica" w:cs="Helvetica"/>
                                                    <w:color w:val="343840"/>
                                                    <w:kern w:val="0"/>
                                                    <w:lang w:eastAsia="nl-NL"/>
                                                    <w14:ligatures w14:val="none"/>
                                                  </w:rPr>
                                                  <w:t> – Southern Command Commander</w:t>
                                                </w:r>
                                              </w:p>
                                              <w:p w14:paraId="2ADB6085"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b/>
                                                    <w:bCs/>
                                                    <w:color w:val="343840"/>
                                                    <w:kern w:val="0"/>
                                                    <w:lang w:eastAsia="nl-NL"/>
                                                    <w14:ligatures w14:val="none"/>
                                                  </w:rPr>
                                                  <w:t>Brig.-Gen. Yossi Sariel</w:t>
                                                </w:r>
                                                <w:r w:rsidRPr="00A77999">
                                                  <w:rPr>
                                                    <w:rFonts w:ascii="Helvetica" w:eastAsia="Times New Roman" w:hAnsi="Helvetica" w:cs="Helvetica"/>
                                                    <w:color w:val="343840"/>
                                                    <w:kern w:val="0"/>
                                                    <w:lang w:eastAsia="nl-NL"/>
                                                    <w14:ligatures w14:val="none"/>
                                                  </w:rPr>
                                                  <w:t> – Former Commander of Unit 8200 (Israel's signals intelligence branch)</w:t>
                                                </w:r>
                                              </w:p>
                                              <w:p w14:paraId="3D128504"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b/>
                                                    <w:bCs/>
                                                    <w:color w:val="343840"/>
                                                    <w:kern w:val="0"/>
                                                    <w:lang w:eastAsia="nl-NL"/>
                                                    <w14:ligatures w14:val="none"/>
                                                  </w:rPr>
                                                  <w:t>General A.</w:t>
                                                </w:r>
                                                <w:r w:rsidRPr="00A77999">
                                                  <w:rPr>
                                                    <w:rFonts w:ascii="Helvetica" w:eastAsia="Times New Roman" w:hAnsi="Helvetica" w:cs="Helvetica"/>
                                                    <w:color w:val="343840"/>
                                                    <w:kern w:val="0"/>
                                                    <w:lang w:eastAsia="nl-NL"/>
                                                    <w14:ligatures w14:val="none"/>
                                                  </w:rPr>
                                                  <w:t> : Current Commander of Unit 8200</w:t>
                                                </w:r>
                                              </w:p>
                                              <w:p w14:paraId="0A85B4DC"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b/>
                                                    <w:bCs/>
                                                    <w:color w:val="343840"/>
                                                    <w:kern w:val="0"/>
                                                    <w:lang w:eastAsia="nl-NL"/>
                                                    <w14:ligatures w14:val="none"/>
                                                  </w:rPr>
                                                  <w:t>Palmachim Airbase Commander</w:t>
                                                </w:r>
                                                <w:r w:rsidRPr="00A77999">
                                                  <w:rPr>
                                                    <w:rFonts w:ascii="Helvetica" w:eastAsia="Times New Roman" w:hAnsi="Helvetica" w:cs="Helvetica"/>
                                                    <w:color w:val="343840"/>
                                                    <w:kern w:val="0"/>
                                                    <w:lang w:eastAsia="nl-NL"/>
                                                    <w14:ligatures w14:val="none"/>
                                                  </w:rPr>
                                                  <w:t> – Name undisclosed</w:t>
                                                </w:r>
                                              </w:p>
                                              <w:p w14:paraId="46781D8F"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b/>
                                                    <w:bCs/>
                                                    <w:color w:val="343840"/>
                                                    <w:kern w:val="0"/>
                                                    <w:lang w:eastAsia="nl-NL"/>
                                                    <w14:ligatures w14:val="none"/>
                                                  </w:rPr>
                                                  <w:t>"Black Snake" Squadron Commander –</w:t>
                                                </w:r>
                                                <w:r w:rsidRPr="00A77999">
                                                  <w:rPr>
                                                    <w:rFonts w:ascii="Helvetica" w:eastAsia="Times New Roman" w:hAnsi="Helvetica" w:cs="Helvetica"/>
                                                    <w:color w:val="343840"/>
                                                    <w:kern w:val="0"/>
                                                    <w:lang w:eastAsia="nl-NL"/>
                                                    <w14:ligatures w14:val="none"/>
                                                  </w:rPr>
                                                  <w:t> Name undisclosed  </w:t>
                                                </w:r>
                                              </w:p>
                                              <w:p w14:paraId="0912D54A"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b/>
                                                    <w:bCs/>
                                                    <w:color w:val="343840"/>
                                                    <w:kern w:val="0"/>
                                                    <w:lang w:eastAsia="nl-NL"/>
                                                    <w14:ligatures w14:val="none"/>
                                                  </w:rPr>
                                                  <w:t>Col. Avichay Adraee</w:t>
                                                </w:r>
                                                <w:r w:rsidRPr="00A77999">
                                                  <w:rPr>
                                                    <w:rFonts w:ascii="Helvetica" w:eastAsia="Times New Roman" w:hAnsi="Helvetica" w:cs="Helvetica"/>
                                                    <w:color w:val="343840"/>
                                                    <w:kern w:val="0"/>
                                                    <w:lang w:eastAsia="nl-NL"/>
                                                    <w14:ligatures w14:val="none"/>
                                                  </w:rPr>
                                                  <w:t> – IDF Spokesperson's Unit, Arab Media Division, responsible for a sustained smear campaign against Al-Sharif</w:t>
                                                </w:r>
                                              </w:p>
                                              <w:p w14:paraId="328D1F4C"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At the political summit stands Benjamin Netanyahu, the Prime Minister who presided over—and encouraged—a strategy to eliminate journalists as part of Israel's assault on Gaza.</w:t>
                                                </w:r>
                                              </w:p>
                                              <w:p w14:paraId="6AF66EEA"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p>
                                              <w:p w14:paraId="0B09EBB7"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b/>
                                                    <w:bCs/>
                                                    <w:color w:val="343840"/>
                                                    <w:kern w:val="0"/>
                                                    <w:lang w:eastAsia="nl-NL"/>
                                                    <w14:ligatures w14:val="none"/>
                                                  </w:rPr>
                                                  <w:t>The Smear Before the Strike</w:t>
                                                </w:r>
                                              </w:p>
                                              <w:p w14:paraId="16A483C1"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p>
                                              <w:p w14:paraId="405F4666"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If the missile was the killing blow, the campaign to delegitimize Anas Al-Sharif had begun long before. For nearly two years, Avichay Adraee, Israel's Arabic-language military spokesperson, used social media to accuse Al-Sharif of being a Hamas operative. He mocked the journalist's emotional reporting, called his on-camera tears "crocodile tears," and framed his work as propaganda.</w:t>
                                                </w:r>
                                              </w:p>
                                              <w:p w14:paraId="221C953E"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This smear playbook is familiar. Before being killed, journalists such as Hamza Wael Al-Dahdouh, Ismail Al-Ghoul, and Hussam Shabat—whose cases PCHR has fully documented—were branded "terrorists" by Israeli officials. Days or weeks later, they were dead—killed in precision strikes on clearly marked press vehicles or while wearing "PRESS" vests.</w:t>
                                                </w:r>
                                              </w:p>
                                              <w:p w14:paraId="3D962B5D"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p>
                                              <w:p w14:paraId="450A5F55"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b/>
                                                    <w:bCs/>
                                                    <w:color w:val="343840"/>
                                                    <w:kern w:val="0"/>
                                                    <w:lang w:eastAsia="nl-NL"/>
                                                    <w14:ligatures w14:val="none"/>
                                                  </w:rPr>
                                                  <w:t>A War on Witnesses</w:t>
                                                </w:r>
                                              </w:p>
                                              <w:p w14:paraId="39F823D5"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p>
                                              <w:p w14:paraId="7F83880E"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The killings of Anas Al-Sharif and his colleagues are not isolated incidents. Together, HRF and PCHR's investigations reveal a systematic policy targeting Al Jazeera journalists:</w:t>
                                                </w:r>
                                              </w:p>
                                              <w:p w14:paraId="74076D94"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Label them terrorists without any plausible proof.</w:t>
                                                </w:r>
                                              </w:p>
                                              <w:p w14:paraId="5C03C791"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Smear them publicly to dehumanize and justify their killing.</w:t>
                                                </w:r>
                                              </w:p>
                                              <w:p w14:paraId="180BE8CF"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Eliminate them in targeted strikes.</w:t>
                                                </w:r>
                                              </w:p>
                                              <w:p w14:paraId="1BEF0C97"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In the Gaza war, local journalists are not just chroniclers—they are the last line of independent witness to a conflict foreign reporters are barred from entering. Silencing them is not collateral damage; it is strategic.</w:t>
                                                </w:r>
                                              </w:p>
                                              <w:p w14:paraId="3CC2C9F5"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p>
                                              <w:p w14:paraId="17CA9253"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b/>
                                                    <w:bCs/>
                                                    <w:color w:val="343840"/>
                                                    <w:kern w:val="0"/>
                                                    <w:lang w:eastAsia="nl-NL"/>
                                                    <w14:ligatures w14:val="none"/>
                                                  </w:rPr>
                                                  <w:t>From Evidence to Action</w:t>
                                                </w:r>
                                              </w:p>
                                              <w:p w14:paraId="515C3738"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p>
                                              <w:p w14:paraId="59BF3A9B"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The joint submission to the ICC does not mince words. It accuses the identified military and political figures of:</w:t>
                                                </w:r>
                                              </w:p>
                                              <w:p w14:paraId="18382F4B"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b/>
                                                    <w:bCs/>
                                                    <w:color w:val="343840"/>
                                                    <w:kern w:val="0"/>
                                                    <w:lang w:eastAsia="nl-NL"/>
                                                    <w14:ligatures w14:val="none"/>
                                                  </w:rPr>
                                                  <w:t>War crimes under Article 8(2)(a)(i) </w:t>
                                                </w:r>
                                                <w:r w:rsidRPr="00A77999">
                                                  <w:rPr>
                                                    <w:rFonts w:ascii="Helvetica" w:eastAsia="Times New Roman" w:hAnsi="Helvetica" w:cs="Helvetica"/>
                                                    <w:color w:val="343840"/>
                                                    <w:kern w:val="0"/>
                                                    <w:lang w:eastAsia="nl-NL"/>
                                                    <w14:ligatures w14:val="none"/>
                                                  </w:rPr>
                                                  <w:t>of the Rome Statute (willful killing)</w:t>
                                                </w:r>
                                              </w:p>
                                              <w:p w14:paraId="3E7B01B3"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b/>
                                                    <w:bCs/>
                                                    <w:color w:val="343840"/>
                                                    <w:kern w:val="0"/>
                                                    <w:lang w:eastAsia="nl-NL"/>
                                                    <w14:ligatures w14:val="none"/>
                                                  </w:rPr>
                                                  <w:t>Genocide under Article 6(a) </w:t>
                                                </w:r>
                                                <w:r w:rsidRPr="00A77999">
                                                  <w:rPr>
                                                    <w:rFonts w:ascii="Helvetica" w:eastAsia="Times New Roman" w:hAnsi="Helvetica" w:cs="Helvetica"/>
                                                    <w:color w:val="343840"/>
                                                    <w:kern w:val="0"/>
                                                    <w:lang w:eastAsia="nl-NL"/>
                                                    <w14:ligatures w14:val="none"/>
                                                  </w:rPr>
                                                  <w:t>of the Rome Statute (as part of the broader campaign to destroy the Palestinian people and erase those documenting their suffering)</w:t>
                                                </w:r>
                                              </w:p>
                                              <w:p w14:paraId="0FFD0560"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And it makes three urgent demands to the ICC Prosecutor:</w:t>
                                                </w:r>
                                              </w:p>
                                              <w:p w14:paraId="78C3E314"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Issue arrest warrants for the military officials named in the submission.</w:t>
                                                </w:r>
                                              </w:p>
                                              <w:p w14:paraId="0DEB60BE"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Expand Netanyahu's arrest warrant to include crimes against journalists.</w:t>
                                                </w:r>
                                              </w:p>
                                              <w:p w14:paraId="19EB10D9"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Formally include all 220+ journalist killings in the ICC's Palestine investigation.</w:t>
                                                </w:r>
                                              </w:p>
                                              <w:p w14:paraId="69F214AB"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p>
                                              <w:p w14:paraId="070FDB09"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b/>
                                                    <w:bCs/>
                                                    <w:color w:val="343840"/>
                                                    <w:kern w:val="0"/>
                                                    <w:lang w:eastAsia="nl-NL"/>
                                                    <w14:ligatures w14:val="none"/>
                                                  </w:rPr>
                                                  <w:t>Hunting the Perpetrators</w:t>
                                                </w:r>
                                              </w:p>
                                              <w:p w14:paraId="0652A5DD"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p>
                                              <w:p w14:paraId="2BB1CE9A"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This is not symbolic litigation. HRF is tracking these individuals, identifying their roles, and preparing to pursue them in any jurisdiction willing to act. The case is being built not only for The Hague, but also for prosecution in national courts that recognize universal jurisdiction for war crimes and genocide.</w:t>
                                                </w:r>
                                              </w:p>
                                              <w:p w14:paraId="5F4FB014"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w:t>
                                                </w:r>
                                                <w:r w:rsidRPr="00A77999">
                                                  <w:rPr>
                                                    <w:rFonts w:ascii="Helvetica" w:eastAsia="Times New Roman" w:hAnsi="Helvetica" w:cs="Helvetica"/>
                                                    <w:i/>
                                                    <w:iCs/>
                                                    <w:color w:val="343840"/>
                                                    <w:kern w:val="0"/>
                                                    <w:lang w:eastAsia="nl-NL"/>
                                                    <w14:ligatures w14:val="none"/>
                                                  </w:rPr>
                                                  <w:t>The assassination of Anas Al-Sharif was so blunt, so arrogant, and so drenched in contempt for human life, truth, the legal order, and humanity itself, that it cannot and will not be allowed to pass into silence</w:t>
                                                </w:r>
                                                <w:r w:rsidRPr="00A77999">
                                                  <w:rPr>
                                                    <w:rFonts w:ascii="Helvetica" w:eastAsia="Times New Roman" w:hAnsi="Helvetica" w:cs="Helvetica"/>
                                                    <w:color w:val="343840"/>
                                                    <w:kern w:val="0"/>
                                                    <w:lang w:eastAsia="nl-NL"/>
                                                    <w14:ligatures w14:val="none"/>
                                                  </w:rPr>
                                                  <w:t>." says  </w:t>
                                                </w:r>
                                                <w:r w:rsidRPr="00A77999">
                                                  <w:rPr>
                                                    <w:rFonts w:ascii="Helvetica" w:eastAsia="Times New Roman" w:hAnsi="Helvetica" w:cs="Helvetica"/>
                                                    <w:b/>
                                                    <w:bCs/>
                                                    <w:color w:val="343840"/>
                                                    <w:kern w:val="0"/>
                                                    <w:lang w:eastAsia="nl-NL"/>
                                                    <w14:ligatures w14:val="none"/>
                                                  </w:rPr>
                                                  <w:t>HRF Chairman Dyab Abou Jahjah</w:t>
                                                </w:r>
                                                <w:r w:rsidRPr="00A77999">
                                                  <w:rPr>
                                                    <w:rFonts w:ascii="Helvetica" w:eastAsia="Times New Roman" w:hAnsi="Helvetica" w:cs="Helvetica"/>
                                                    <w:color w:val="343840"/>
                                                    <w:kern w:val="0"/>
                                                    <w:lang w:eastAsia="nl-NL"/>
                                                    <w14:ligatures w14:val="none"/>
                                                  </w:rPr>
                                                  <w:t>.</w:t>
                                                </w:r>
                                              </w:p>
                                              <w:p w14:paraId="0F22C9B5"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p>
                                              <w:p w14:paraId="44A0E172"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b/>
                                                    <w:bCs/>
                                                    <w:color w:val="343840"/>
                                                    <w:kern w:val="0"/>
                                                    <w:lang w:eastAsia="nl-NL"/>
                                                    <w14:ligatures w14:val="none"/>
                                                  </w:rPr>
                                                  <w:t>The Message to The ICC</w:t>
                                                </w:r>
                                              </w:p>
                                              <w:p w14:paraId="6AF5B132"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p>
                                              <w:p w14:paraId="6E9BC2BF"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The evidence is there. The legal foundation is unshakable. The jurisdiction is established beyond question. What remains is for the International Criminal Court to move past statements of "grave concern" and take the decisive step that justice demands: act.</w:t>
                                                </w:r>
                                              </w:p>
                                              <w:p w14:paraId="688B15B1"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The killing of journalists in Gaza is not a footnote to the story—it is the method by which every other war crime is hidden from the world. It is the deliberate blinding of humanity's eyes, the extinguishing of the witnesses who stand between atrocity and oblivion. To ignore this is not neutrality—it is complicity. It is to give the perpetrators the silence they seek.</w:t>
                                                </w:r>
                                              </w:p>
                                              <w:p w14:paraId="3ACC0E54"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b/>
                                                    <w:bCs/>
                                                    <w:color w:val="343840"/>
                                                    <w:kern w:val="0"/>
                                                    <w:lang w:eastAsia="nl-NL"/>
                                                    <w14:ligatures w14:val="none"/>
                                                  </w:rPr>
                                                  <w:t>Anas Al-Sharif</w:t>
                                                </w:r>
                                                <w:r w:rsidRPr="00A77999">
                                                  <w:rPr>
                                                    <w:rFonts w:ascii="Helvetica" w:eastAsia="Times New Roman" w:hAnsi="Helvetica" w:cs="Helvetica"/>
                                                    <w:color w:val="343840"/>
                                                    <w:kern w:val="0"/>
                                                    <w:lang w:eastAsia="nl-NL"/>
                                                    <w14:ligatures w14:val="none"/>
                                                  </w:rPr>
                                                  <w:t> knew this better than anyone. His last words, prepared in anticipation of his own assassination, still echo across the digital world:</w:t>
                                                </w:r>
                                              </w:p>
                                              <w:p w14:paraId="414E7CFD"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w:t>
                                                </w:r>
                                                <w:r w:rsidRPr="00A77999">
                                                  <w:rPr>
                                                    <w:rFonts w:ascii="Helvetica" w:eastAsia="Times New Roman" w:hAnsi="Helvetica" w:cs="Helvetica"/>
                                                    <w:i/>
                                                    <w:iCs/>
                                                    <w:color w:val="343840"/>
                                                    <w:kern w:val="0"/>
                                                    <w:lang w:eastAsia="nl-NL"/>
                                                    <w14:ligatures w14:val="none"/>
                                                  </w:rPr>
                                                  <w:t>If these words of mine reach you, know that Israel has succeeded in killing me and silencing my voice</w:t>
                                                </w:r>
                                                <w:r w:rsidRPr="00A77999">
                                                  <w:rPr>
                                                    <w:rFonts w:ascii="Helvetica" w:eastAsia="Times New Roman" w:hAnsi="Helvetica" w:cs="Helvetica"/>
                                                    <w:color w:val="343840"/>
                                                    <w:kern w:val="0"/>
                                                    <w:lang w:eastAsia="nl-NL"/>
                                                    <w14:ligatures w14:val="none"/>
                                                  </w:rPr>
                                                  <w:t>."</w:t>
                                                </w:r>
                                              </w:p>
                                              <w:p w14:paraId="7B1DD2E5" w14:textId="77777777" w:rsidR="00A77999" w:rsidRPr="00A77999" w:rsidRDefault="00A77999" w:rsidP="00A77999">
                                                <w:pPr>
                                                  <w:spacing w:after="0" w:line="240" w:lineRule="auto"/>
                                                  <w:rPr>
                                                    <w:rFonts w:ascii="Helvetica" w:eastAsia="Times New Roman" w:hAnsi="Helvetica" w:cs="Helvetica"/>
                                                    <w:color w:val="343840"/>
                                                    <w:kern w:val="0"/>
                                                    <w:lang w:eastAsia="nl-NL"/>
                                                    <w14:ligatures w14:val="none"/>
                                                  </w:rPr>
                                                </w:pPr>
                                                <w:r w:rsidRPr="00A77999">
                                                  <w:rPr>
                                                    <w:rFonts w:ascii="Helvetica" w:eastAsia="Times New Roman" w:hAnsi="Helvetica" w:cs="Helvetica"/>
                                                    <w:color w:val="343840"/>
                                                    <w:kern w:val="0"/>
                                                    <w:lang w:eastAsia="nl-NL"/>
                                                    <w14:ligatures w14:val="none"/>
                                                  </w:rPr>
                                                  <w:t>But voices like his are not so easily buried. The joint HRF–PCHR case ensures that his words will rise again—in the courtroom of the ICC, in the ink of arrest warrants, and in the unyielding memory of history. They will stand as testimony not only to his courage but to the moral imperative that binds us all: that truth must be defended, justice must be pursued, and those who kill to hide their crimes must one day answer for them.</w:t>
                                                </w:r>
                                              </w:p>
                                            </w:tc>
                                          </w:tr>
                                        </w:tbl>
                                        <w:p w14:paraId="5A6ACA08" w14:textId="77777777" w:rsidR="00A77999" w:rsidRPr="00A77999" w:rsidRDefault="00A77999" w:rsidP="00A77999">
                                          <w:pPr>
                                            <w:spacing w:after="0" w:line="240" w:lineRule="auto"/>
                                            <w:rPr>
                                              <w:rFonts w:ascii="Times New Roman" w:eastAsia="Times New Roman" w:hAnsi="Times New Roman" w:cs="Times New Roman"/>
                                              <w:kern w:val="0"/>
                                              <w:lang w:eastAsia="nl-NL"/>
                                              <w14:ligatures w14:val="none"/>
                                            </w:rPr>
                                          </w:pPr>
                                        </w:p>
                                      </w:tc>
                                    </w:tr>
                                  </w:tbl>
                                  <w:p w14:paraId="10A47FF3" w14:textId="77777777" w:rsidR="00A77999" w:rsidRPr="00A77999" w:rsidRDefault="00A77999" w:rsidP="00A77999">
                                    <w:pPr>
                                      <w:spacing w:after="0" w:line="240" w:lineRule="auto"/>
                                      <w:rPr>
                                        <w:rFonts w:ascii="Times New Roman" w:eastAsia="Times New Roman" w:hAnsi="Times New Roman" w:cs="Times New Roman"/>
                                        <w:kern w:val="0"/>
                                        <w:lang w:eastAsia="nl-NL"/>
                                        <w14:ligatures w14:val="none"/>
                                      </w:rPr>
                                    </w:pPr>
                                  </w:p>
                                </w:tc>
                              </w:tr>
                            </w:tbl>
                            <w:p w14:paraId="0AAFD87D" w14:textId="77777777" w:rsidR="00A77999" w:rsidRPr="00A77999" w:rsidRDefault="00A77999" w:rsidP="00A77999">
                              <w:pPr>
                                <w:spacing w:after="0" w:line="240" w:lineRule="auto"/>
                                <w:rPr>
                                  <w:rFonts w:ascii="Times New Roman" w:eastAsia="Times New Roman" w:hAnsi="Times New Roman" w:cs="Times New Roman"/>
                                  <w:kern w:val="0"/>
                                  <w:lang w:eastAsia="nl-NL"/>
                                  <w14:ligatures w14:val="none"/>
                                </w:rPr>
                              </w:pPr>
                            </w:p>
                          </w:tc>
                        </w:tr>
                      </w:tbl>
                      <w:p w14:paraId="7C121FAE" w14:textId="77777777" w:rsidR="00A77999" w:rsidRPr="00A77999" w:rsidRDefault="00A77999" w:rsidP="00A77999">
                        <w:pPr>
                          <w:spacing w:after="0" w:line="240" w:lineRule="auto"/>
                          <w:rPr>
                            <w:rFonts w:ascii="Times New Roman" w:eastAsia="Times New Roman" w:hAnsi="Times New Roman" w:cs="Times New Roman"/>
                            <w:kern w:val="0"/>
                            <w:lang w:eastAsia="nl-NL"/>
                            <w14:ligatures w14:val="none"/>
                          </w:rPr>
                        </w:pPr>
                      </w:p>
                    </w:tc>
                  </w:tr>
                </w:tbl>
                <w:p w14:paraId="307D5AD9" w14:textId="77777777" w:rsidR="00A77999" w:rsidRPr="00A77999" w:rsidRDefault="00A77999" w:rsidP="00A77999">
                  <w:pPr>
                    <w:spacing w:after="0" w:line="240" w:lineRule="auto"/>
                    <w:jc w:val="center"/>
                    <w:rPr>
                      <w:rFonts w:ascii="Times New Roman" w:eastAsia="Times New Roman" w:hAnsi="Times New Roman" w:cs="Times New Roman"/>
                      <w:kern w:val="0"/>
                      <w:lang w:eastAsia="nl-NL"/>
                      <w14:ligatures w14:val="none"/>
                    </w:rPr>
                  </w:pPr>
                </w:p>
              </w:tc>
            </w:tr>
          </w:tbl>
          <w:p w14:paraId="75C4BE15" w14:textId="77777777" w:rsidR="00A77999" w:rsidRPr="00A77999" w:rsidRDefault="00A77999" w:rsidP="00A77999">
            <w:pPr>
              <w:spacing w:after="0" w:line="240" w:lineRule="auto"/>
              <w:jc w:val="center"/>
              <w:rPr>
                <w:rFonts w:ascii="Segoe UI" w:eastAsia="Times New Roman" w:hAnsi="Segoe UI" w:cs="Segoe UI"/>
                <w:color w:val="2C3235"/>
                <w:kern w:val="0"/>
                <w:sz w:val="23"/>
                <w:szCs w:val="23"/>
                <w:lang w:eastAsia="nl-NL"/>
                <w14:ligatures w14:val="none"/>
              </w:rPr>
            </w:pPr>
          </w:p>
        </w:tc>
      </w:tr>
    </w:tbl>
    <w:p w14:paraId="227E4812" w14:textId="77777777" w:rsidR="00A77999" w:rsidRDefault="00A77999"/>
    <w:sectPr w:rsidR="00A779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999"/>
    <w:rsid w:val="00A77999"/>
    <w:rsid w:val="00DB00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099A5"/>
  <w15:chartTrackingRefBased/>
  <w15:docId w15:val="{4C3E2A64-F1A3-4BA7-8621-72D7665D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77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77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77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77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77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77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77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77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77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7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77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77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77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77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77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77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77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77999"/>
    <w:rPr>
      <w:rFonts w:eastAsiaTheme="majorEastAsia" w:cstheme="majorBidi"/>
      <w:color w:val="272727" w:themeColor="text1" w:themeTint="D8"/>
    </w:rPr>
  </w:style>
  <w:style w:type="paragraph" w:styleId="Titel">
    <w:name w:val="Title"/>
    <w:basedOn w:val="Standaard"/>
    <w:next w:val="Standaard"/>
    <w:link w:val="TitelChar"/>
    <w:uiPriority w:val="10"/>
    <w:qFormat/>
    <w:rsid w:val="00A77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77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77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77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77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77999"/>
    <w:rPr>
      <w:i/>
      <w:iCs/>
      <w:color w:val="404040" w:themeColor="text1" w:themeTint="BF"/>
    </w:rPr>
  </w:style>
  <w:style w:type="paragraph" w:styleId="Lijstalinea">
    <w:name w:val="List Paragraph"/>
    <w:basedOn w:val="Standaard"/>
    <w:uiPriority w:val="34"/>
    <w:qFormat/>
    <w:rsid w:val="00A77999"/>
    <w:pPr>
      <w:ind w:left="720"/>
      <w:contextualSpacing/>
    </w:pPr>
  </w:style>
  <w:style w:type="character" w:styleId="Intensievebenadrukking">
    <w:name w:val="Intense Emphasis"/>
    <w:basedOn w:val="Standaardalinea-lettertype"/>
    <w:uiPriority w:val="21"/>
    <w:qFormat/>
    <w:rsid w:val="00A77999"/>
    <w:rPr>
      <w:i/>
      <w:iCs/>
      <w:color w:val="0F4761" w:themeColor="accent1" w:themeShade="BF"/>
    </w:rPr>
  </w:style>
  <w:style w:type="paragraph" w:styleId="Duidelijkcitaat">
    <w:name w:val="Intense Quote"/>
    <w:basedOn w:val="Standaard"/>
    <w:next w:val="Standaard"/>
    <w:link w:val="DuidelijkcitaatChar"/>
    <w:uiPriority w:val="30"/>
    <w:qFormat/>
    <w:rsid w:val="00A77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77999"/>
    <w:rPr>
      <w:i/>
      <w:iCs/>
      <w:color w:val="0F4761" w:themeColor="accent1" w:themeShade="BF"/>
    </w:rPr>
  </w:style>
  <w:style w:type="character" w:styleId="Intensieveverwijzing">
    <w:name w:val="Intense Reference"/>
    <w:basedOn w:val="Standaardalinea-lettertype"/>
    <w:uiPriority w:val="32"/>
    <w:qFormat/>
    <w:rsid w:val="00A779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indrajabfoundation.us12.list-manage.com/track/click?u=3062ea7ff763d1960d0768e27&amp;id=584b331931&amp;e=6c17b3f50f" TargetMode="Externa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1272</Words>
  <Characters>6997</Characters>
  <Application>Microsoft Office Word</Application>
  <DocSecurity>0</DocSecurity>
  <Lines>58</Lines>
  <Paragraphs>16</Paragraphs>
  <ScaleCrop>false</ScaleCrop>
  <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2025-10-31T07:57:00Z</dcterms:created>
  <dcterms:modified xsi:type="dcterms:W3CDTF">2025-10-31T07:57:00Z</dcterms:modified>
</cp:coreProperties>
</file>