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F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63495" w:rsidRPr="00363495" w14:paraId="7E5D0F9C" w14:textId="77777777">
        <w:tc>
          <w:tcPr>
            <w:tcW w:w="9070" w:type="dxa"/>
            <w:shd w:val="clear" w:color="auto" w:fill="EFEBEB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63495" w:rsidRPr="00363495" w14:paraId="38F3051F" w14:textId="77777777">
              <w:trPr>
                <w:jc w:val="center"/>
              </w:trPr>
              <w:tc>
                <w:tcPr>
                  <w:tcW w:w="0" w:type="auto"/>
                  <w:shd w:val="clear" w:color="auto" w:fill="04383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363495" w:rsidRPr="00363495" w14:paraId="5018CF4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363495" w:rsidRPr="00363495" w14:paraId="7A04243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363495" w:rsidRPr="00363495" w14:paraId="53F36429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363495" w:rsidRPr="00363495" w14:paraId="2F02BA7D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4383F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25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363495" w:rsidRPr="00363495" w14:paraId="210BD486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62A9A42A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36349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532CCFD4" wp14:editId="22168EFC">
                                                      <wp:extent cx="3143250" cy="1047750"/>
                                                      <wp:effectExtent l="0" t="0" r="0" b="0"/>
                                                      <wp:docPr id="3" name="Afbeelding 4" descr="Afbeelding met tekst, Lettertype, Graphics, grafische vormgeving&#10;&#10;Door AI gegenereerde inhoud is mogelijk onjuist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3" name="Afbeelding 4" descr="Afbeelding met tekst, Lettertype, Graphics, grafische vormgeving&#10;&#10;Door AI gegenereerde inhoud is mogelijk onjuist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32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DE4D66B" w14:textId="77777777" w:rsidR="00363495" w:rsidRPr="00363495" w:rsidRDefault="00363495" w:rsidP="00363495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6B90B4E" w14:textId="77777777" w:rsidR="00363495" w:rsidRPr="00363495" w:rsidRDefault="00363495" w:rsidP="00363495">
                                    <w:pPr>
                                      <w:spacing w:after="0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5654E8" w14:textId="77777777" w:rsidR="00363495" w:rsidRPr="00363495" w:rsidRDefault="00363495" w:rsidP="00363495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BEE4D51" w14:textId="77777777" w:rsidR="00363495" w:rsidRPr="00363495" w:rsidRDefault="00363495" w:rsidP="00363495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62D5A39F" w14:textId="77777777" w:rsidR="00363495" w:rsidRPr="00363495" w:rsidRDefault="00363495" w:rsidP="0036349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</w:p>
              </w:tc>
            </w:tr>
            <w:tr w:rsidR="00363495" w:rsidRPr="00363495" w14:paraId="5284D6FA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363495" w:rsidRPr="00363495" w14:paraId="5ED3C2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363495" w:rsidRPr="00363495" w14:paraId="3B44EB0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363495" w:rsidRPr="00363495" w14:paraId="07B91B18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72"/>
                                    </w:tblGrid>
                                    <w:tr w:rsidR="00363495" w:rsidRPr="00363495" w14:paraId="65880491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FEBEB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363495" w:rsidRPr="00363495" w14:paraId="63954055" w14:textId="7777777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E18417D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FD1FA9B" w14:textId="77777777" w:rsidR="00363495" w:rsidRPr="00363495" w:rsidRDefault="00363495" w:rsidP="00363495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63495" w:rsidRPr="00363495" w14:paraId="5F35740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363495" w:rsidRPr="00363495" w14:paraId="4D0CC775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363495" w:rsidRPr="00363495" w14:paraId="15D2E192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E241D0C" w14:textId="77777777" w:rsidR="00363495" w:rsidRPr="00363495" w:rsidRDefault="00363495" w:rsidP="00363495">
                                                      <w:pPr>
                                                        <w:spacing w:after="0" w:line="48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Brussels – 16/02/2026</w:t>
                                                      </w:r>
                                                    </w:p>
                                                    <w:p w14:paraId="3A7B1E31" w14:textId="77777777" w:rsidR="00363495" w:rsidRPr="00363495" w:rsidRDefault="00363495" w:rsidP="00363495">
                                                      <w:pPr>
                                                        <w:spacing w:after="0" w:line="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2042068F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Hind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Foundation has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Chile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Israeli-Ukrainian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sniper Rom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Kovtun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genocide, crimes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war crimes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committed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Gaza.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 xml:space="preserve">The case centers on his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participation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siege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Al-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Shifa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Hospital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one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most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serious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attacks on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protected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medical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infrastructure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during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genocide.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action is part of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global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effort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ensure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those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responsible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Gaza genocide face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justice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wherever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travel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20025DBD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More details below.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6246392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E4CB129" w14:textId="77777777" w:rsidR="00363495" w:rsidRPr="00363495" w:rsidRDefault="00363495" w:rsidP="00363495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63495" w:rsidRPr="00363495" w14:paraId="3320B3E8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363495" w:rsidRPr="00363495" w14:paraId="5CD83887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20B1B778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DFD8D40" w14:textId="77777777" w:rsidR="00363495" w:rsidRPr="00363495" w:rsidRDefault="00363495" w:rsidP="00363495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63495" w:rsidRPr="00363495" w14:paraId="39CA3787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911"/>
                                          </w:tblGrid>
                                          <w:tr w:rsidR="00363495" w:rsidRPr="00363495" w14:paraId="6044035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960"/>
                                                <w:hideMark/>
                                              </w:tcPr>
                                              <w:p w14:paraId="08A2953D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 w:rsidRPr="00363495">
                                                    <w:rPr>
                                                      <w:rFonts w:ascii="Helvetica" w:eastAsia="Times New Roman" w:hAnsi="Helvetica" w:cs="Times New Roman"/>
                                                      <w:b/>
                                                      <w:bCs/>
                                                      <w:color w:val="343840"/>
                                                      <w:kern w:val="0"/>
                                                      <w:sz w:val="27"/>
                                                      <w:szCs w:val="27"/>
                                                      <w:bdr w:val="none" w:sz="0" w:space="0" w:color="auto" w:frame="1"/>
                                                      <w:shd w:val="clear" w:color="auto" w:fill="FFF960"/>
                                                      <w:lang w:eastAsia="nl-NL"/>
                                                      <w14:ligatures w14:val="none"/>
                                                    </w:rPr>
                                                    <w:t>SUPPORT OUR WORK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2C416465" w14:textId="77777777" w:rsidR="00363495" w:rsidRPr="00363495" w:rsidRDefault="00363495" w:rsidP="00363495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363495" w:rsidRPr="00363495" w14:paraId="3BBA3BC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3B54238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2942E89" w14:textId="77777777" w:rsidR="00363495" w:rsidRPr="00363495" w:rsidRDefault="00363495" w:rsidP="00363495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63495" w:rsidRPr="00363495" w14:paraId="0A440C75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363495" w:rsidRPr="00363495" w14:paraId="138257A8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1DC11654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A6971EB" w14:textId="77777777" w:rsidR="00363495" w:rsidRPr="00363495" w:rsidRDefault="00363495" w:rsidP="00363495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63495" w:rsidRPr="00363495" w14:paraId="4CDDF6EA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363495" w:rsidRPr="00363495" w14:paraId="38F15055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363495" w:rsidRPr="00363495" w14:paraId="30B81B30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F9E8DF0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outlineLvl w:val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36"/>
                                                          <w:szCs w:val="36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HRF Files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36"/>
                                                          <w:szCs w:val="36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36"/>
                                                          <w:szCs w:val="36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36"/>
                                                          <w:szCs w:val="36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36"/>
                                                          <w:szCs w:val="36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Chile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36"/>
                                                          <w:szCs w:val="36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36"/>
                                                          <w:szCs w:val="36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Sniper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36"/>
                                                          <w:szCs w:val="36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36"/>
                                                          <w:szCs w:val="36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War Crimes in Gaza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1F7C29A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CA3A42C" w14:textId="77777777" w:rsidR="00363495" w:rsidRPr="00363495" w:rsidRDefault="00363495" w:rsidP="00363495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63495" w:rsidRPr="00363495" w14:paraId="7ACD4A44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72"/>
                                          </w:tblGrid>
                                          <w:tr w:rsidR="00363495" w:rsidRPr="00363495" w14:paraId="5924964C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7A563B0F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36349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6DBBD185" wp14:editId="573B655C">
                                                      <wp:extent cx="5905500" cy="3600450"/>
                                                      <wp:effectExtent l="0" t="0" r="0" b="0"/>
                                                      <wp:docPr id="4" name="Afbeelding 3" descr="Afbeelding met wapen, persoon, geweer, vuurwapen&#10;&#10;Door AI gegenereerde inhoud is mogelijk onjuist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" name="Afbeelding 3" descr="Afbeelding met wapen, persoon, geweer, vuurwapen&#10;&#10;Door AI gegenereerde inhoud is mogelijk onjuist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905500" cy="3600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BA6D885" w14:textId="77777777" w:rsidR="00363495" w:rsidRPr="00363495" w:rsidRDefault="00363495" w:rsidP="00363495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63495" w:rsidRPr="00363495" w14:paraId="527E1E3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363495" w:rsidRPr="00363495" w14:paraId="737A11DE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363495" w:rsidRPr="00363495" w14:paraId="7E12FE46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0A71EE5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Hind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Foundation (HRF)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 has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before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8th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Guarantee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Court of 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Santiago, Chile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seeking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investigation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prosecution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Rom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Kovtun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Chile's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20.357,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which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criminalizes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genocide, crimes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war crimes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accordance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Rome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Statute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16590B57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formally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submitted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Chilean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lawyer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Pablo Andrés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Araya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Zacarías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, partner at Silva-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Riesco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Abogados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acting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behalf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HRF. 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filing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invokes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universal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activated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Kovtun's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physical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presence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Chile.</w:t>
                                                      </w:r>
                                                    </w:p>
                                                    <w:p w14:paraId="7114BB67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43666477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Accused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His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Operational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Role</w:t>
                                                      </w:r>
                                                      <w:proofErr w:type="spellEnd"/>
                                                    </w:p>
                                                    <w:p w14:paraId="4A29016C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22285E0F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According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, 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Rom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Kovtun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Israeli-Ukrainian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served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as a sniper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424th "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Shaked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" Battalion 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Givati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Brigade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operating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401st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Armored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Brigade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during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Israel's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large-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scale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operations in Gaza.</w:t>
                                                      </w:r>
                                                    </w:p>
                                                    <w:p w14:paraId="01AD266B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filing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details his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alleged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participation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iege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Al-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Shifa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Hospital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between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March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April 2024 —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operation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resulted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massive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medical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infrastructure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reported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deaths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patients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medical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staff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6AA7767D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alleges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Kovtun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:</w:t>
                                                      </w:r>
                                                    </w:p>
                                                    <w:p w14:paraId="35798C47" w14:textId="77777777" w:rsidR="00363495" w:rsidRPr="00363495" w:rsidRDefault="00363495" w:rsidP="00363495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lastRenderedPageBreak/>
                                                        <w:t>Participated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encirclement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military control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hospital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compound;</w:t>
                                                      </w:r>
                                                    </w:p>
                                                    <w:p w14:paraId="13075BBC" w14:textId="77777777" w:rsidR="00363495" w:rsidRPr="00363495" w:rsidRDefault="00363495" w:rsidP="00363495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Operated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as part of sniper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positions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surrounding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facility;</w:t>
                                                      </w:r>
                                                    </w:p>
                                                    <w:p w14:paraId="1C56E9E8" w14:textId="77777777" w:rsidR="00363495" w:rsidRPr="00363495" w:rsidRDefault="00363495" w:rsidP="00363495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Contributed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sustained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lethal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around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hospital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perimeter;</w:t>
                                                      </w:r>
                                                    </w:p>
                                                    <w:p w14:paraId="4D581C02" w14:textId="77777777" w:rsidR="00363495" w:rsidRPr="00363495" w:rsidRDefault="00363495" w:rsidP="00363495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Took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part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conditions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prevented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safe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evacuation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civilians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;</w:t>
                                                      </w:r>
                                                    </w:p>
                                                    <w:p w14:paraId="48375171" w14:textId="77777777" w:rsidR="00363495" w:rsidRPr="00363495" w:rsidRDefault="00363495" w:rsidP="00363495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Contributed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circumstances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led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deaths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caused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deprivation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food, water,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medical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care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humanitarian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access.</w:t>
                                                      </w:r>
                                                    </w:p>
                                                    <w:p w14:paraId="0D3C384A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Following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withdrawal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forces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reports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documented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mass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graves,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widespread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severe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damage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largest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medical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complex in Gaza.</w:t>
                                                      </w:r>
                                                    </w:p>
                                                    <w:p w14:paraId="5A48395C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1FCD6D65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Legal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Characterization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Conduct</w:t>
                                                      </w:r>
                                                      <w:proofErr w:type="spellEnd"/>
                                                    </w:p>
                                                    <w:p w14:paraId="26EA6F8B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0AC5F5A6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Under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Chile's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20.357,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qualifies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alleged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conduct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as crimes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participation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widespread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or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systematic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attack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directed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population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subjecting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civilians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conditions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existence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leading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death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or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serious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harm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; as genocide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contributing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deliberate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infliction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conditions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life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calculated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bring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about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physical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whole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or in part, of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protected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national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group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;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as war crimes,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attacks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civilians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attacks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protected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medical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facilities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property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justified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military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necessity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further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argues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siege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functioning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hospital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—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specially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protected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object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humanitarian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—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constitutes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one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gravest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categories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violations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676DA616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Chilean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Courts</w:t>
                                                      </w:r>
                                                    </w:p>
                                                    <w:p w14:paraId="74899073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filing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sets out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basis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Chilean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noting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Chile has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ratified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Rome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Statute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Geneva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Conventions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20.357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codifies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genocide, crimes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war crimes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domestic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It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further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explains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universal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recognized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Chilean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jurisprudence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Kovtun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physically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present in Chile,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has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prosecuted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alleged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crimes. On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basis,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asserts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Chilean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courts are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legally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competent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obligated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act. HRF has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therefore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requested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court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admit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open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formal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investigation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assign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Human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Rights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Crimes Brigade (BRIDEHU)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conduct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investigative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measures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locate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interrogate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Kovtun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impose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precautionary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measures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preventing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his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departure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from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Chile.</w:t>
                                                      </w:r>
                                                    </w:p>
                                                    <w:p w14:paraId="5C7792A6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7241C258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lastRenderedPageBreak/>
                                                        <w:t xml:space="preserve">Statements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from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HRF</w:t>
                                                      </w:r>
                                                    </w:p>
                                                    <w:p w14:paraId="5FC99437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  "</w:t>
                                                      </w:r>
                                                    </w:p>
                                                    <w:p w14:paraId="5347F1B3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   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targeting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functioning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hospital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during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military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siege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strike at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humanitarian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,"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said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Dyab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Abou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Jahjah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, General Director of HRF. "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When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evidence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indicates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sniper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participated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such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operation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domestic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courts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cannot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look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away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Universal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exists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ensure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most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serious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crimes do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go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unexamined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simply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because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were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committed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abroad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0A103334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  "</w:t>
                                                      </w:r>
                                                    </w:p>
                                                    <w:p w14:paraId="2A88F6D5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Natacha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Bracq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Head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Litigation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at HRF,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emphasized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evidentiary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foundation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case:</w:t>
                                                      </w:r>
                                                    </w:p>
                                                    <w:p w14:paraId="637211E8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  "</w:t>
                                                      </w:r>
                                                    </w:p>
                                                    <w:p w14:paraId="2A25EAE4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   International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humanitarian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grants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special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protection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hospitals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medical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personnel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wounded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,"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said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Bracq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"The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encirclement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functioning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medical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complex,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combined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deprivation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food, water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medical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care, are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collateral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damage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—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constitute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war crimes, crimes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acts of genocide.</w:t>
                                                      </w:r>
                                                    </w:p>
                                                    <w:p w14:paraId="0BB0FF1A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  "</w:t>
                                                      </w:r>
                                                    </w:p>
                                                    <w:p w14:paraId="20374CDB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Chilean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counsel 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Pablo Andrés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Araya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Zacarías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stated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:</w:t>
                                                      </w:r>
                                                    </w:p>
                                                    <w:p w14:paraId="048C412F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  "</w:t>
                                                      </w:r>
                                                    </w:p>
                                                    <w:p w14:paraId="13AD5077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   Chile has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ratified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Rome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Statute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incorporated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domestic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through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20.357.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creates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obligation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ensure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those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accused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genocide, crimes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humanity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war crimes do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refuge here. The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requirements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universal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are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clearly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met,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we are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confident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court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will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declare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admissible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proceed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investigation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7AF49508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  "</w:t>
                                                      </w:r>
                                                    </w:p>
                                                    <w:p w14:paraId="14064FC4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A Global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Strategy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End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Impunity</w:t>
                                                      </w:r>
                                                      <w:proofErr w:type="spellEnd"/>
                                                    </w:p>
                                                    <w:p w14:paraId="512ECF6B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0BD82513" w14:textId="77777777" w:rsidR="00363495" w:rsidRPr="00363495" w:rsidRDefault="00363495" w:rsidP="00363495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filing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Chile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forms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part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Hind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Foundation's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broader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global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strategy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ensure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individuals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credibly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accused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gravest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crimes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committed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during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Gaza genocide are held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account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wherever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travel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HRF has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initiated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proceedings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invoking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universal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multiple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countries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triggering official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investigations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scrutiny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across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Latin America, Europe,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North America. These actions,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alongside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extensive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submissions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International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Court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domestic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prosecutors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worldwide, are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aimed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at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dismantling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longstanding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architecture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Universal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no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longer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theoretical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—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being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activated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lastRenderedPageBreak/>
                                                        <w:t xml:space="preserve">courtrooms. Chile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has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opportunity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mark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important step in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global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quest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justice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demonstrating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presence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its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territory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carries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consequences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Ending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begins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enforcing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63495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9B1C25C" w14:textId="77777777" w:rsidR="00363495" w:rsidRPr="00363495" w:rsidRDefault="00363495" w:rsidP="00363495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D0C78AC" w14:textId="77777777" w:rsidR="00363495" w:rsidRPr="00363495" w:rsidRDefault="00363495" w:rsidP="00363495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B5B46D4" w14:textId="77777777" w:rsidR="00363495" w:rsidRPr="00363495" w:rsidRDefault="00363495" w:rsidP="00363495">
                                    <w:pPr>
                                      <w:spacing w:after="0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5126A8" w14:textId="77777777" w:rsidR="00363495" w:rsidRPr="00363495" w:rsidRDefault="00363495" w:rsidP="00363495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DFA1A67" w14:textId="77777777" w:rsidR="00363495" w:rsidRPr="00363495" w:rsidRDefault="00363495" w:rsidP="00363495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7CDD57F9" w14:textId="77777777" w:rsidR="00363495" w:rsidRPr="00363495" w:rsidRDefault="00363495" w:rsidP="0036349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</w:p>
              </w:tc>
            </w:tr>
          </w:tbl>
          <w:p w14:paraId="4D3827D6" w14:textId="77777777" w:rsidR="00363495" w:rsidRPr="00363495" w:rsidRDefault="00363495" w:rsidP="00363495">
            <w:pPr>
              <w:spacing w:after="0"/>
              <w:jc w:val="center"/>
              <w:rPr>
                <w:rFonts w:ascii="Segoe UI" w:eastAsia="Times New Roman" w:hAnsi="Segoe UI" w:cs="Segoe UI"/>
                <w:color w:val="2C3235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</w:tbl>
    <w:p w14:paraId="4A4B48D4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2584F"/>
    <w:multiLevelType w:val="multilevel"/>
    <w:tmpl w:val="5316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63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95"/>
    <w:rsid w:val="00363495"/>
    <w:rsid w:val="00A13ADC"/>
    <w:rsid w:val="00BE0D22"/>
    <w:rsid w:val="00F063D5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EDD2"/>
  <w15:chartTrackingRefBased/>
  <w15:docId w15:val="{F92FEB5E-86BB-4C11-9B26-7C76F52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3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3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34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34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34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34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34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34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34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34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34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34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3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34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3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ndrajabfoundation.us12.list-manage.com/track/click?u=3062ea7ff763d1960d0768e27&amp;id=01f5248710&amp;e=6c17b3f50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2026-02-21T09:15:00Z</dcterms:created>
  <dcterms:modified xsi:type="dcterms:W3CDTF">2026-02-21T09:16:00Z</dcterms:modified>
</cp:coreProperties>
</file>