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Mar>
          <w:left w:w="0" w:type="dxa"/>
          <w:right w:w="0" w:type="dxa"/>
        </w:tblCellMar>
        <w:tblLook w:val="04A0" w:firstRow="1" w:lastRow="0" w:firstColumn="1" w:lastColumn="0" w:noHBand="0" w:noVBand="1"/>
      </w:tblPr>
      <w:tblGrid>
        <w:gridCol w:w="9600"/>
      </w:tblGrid>
      <w:tr w:rsidR="00051281" w:rsidRPr="00051281" w:rsidTr="00051281">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994"/>
              <w:gridCol w:w="1606"/>
            </w:tblGrid>
            <w:tr w:rsidR="00051281" w:rsidRPr="00051281">
              <w:trPr>
                <w:trHeight w:val="300"/>
                <w:jc w:val="center"/>
              </w:trPr>
              <w:tc>
                <w:tcPr>
                  <w:tcW w:w="0" w:type="auto"/>
                  <w:gridSpan w:val="2"/>
                  <w:vAlign w:val="center"/>
                  <w:hideMark/>
                </w:tcPr>
                <w:p w:rsidR="00051281" w:rsidRPr="00051281" w:rsidRDefault="00051281" w:rsidP="00051281">
                  <w:pPr>
                    <w:rPr>
                      <w:rFonts w:ascii="Times New Roman" w:eastAsia="Times New Roman" w:hAnsi="Times New Roman" w:cs="Times New Roman"/>
                      <w:sz w:val="24"/>
                      <w:szCs w:val="24"/>
                      <w:lang w:eastAsia="nl-NL"/>
                    </w:rPr>
                  </w:pPr>
                </w:p>
              </w:tc>
            </w:tr>
            <w:tr w:rsidR="00051281" w:rsidRPr="00051281">
              <w:trPr>
                <w:jc w:val="center"/>
              </w:trPr>
              <w:tc>
                <w:tcPr>
                  <w:tcW w:w="0" w:type="auto"/>
                  <w:vAlign w:val="center"/>
                  <w:hideMark/>
                </w:tcPr>
                <w:p w:rsidR="00051281" w:rsidRPr="00051281" w:rsidRDefault="00051281" w:rsidP="00051281">
                  <w:pPr>
                    <w:spacing w:line="270" w:lineRule="atLeast"/>
                    <w:rPr>
                      <w:rFonts w:ascii="Arial" w:eastAsia="Times New Roman" w:hAnsi="Arial" w:cs="Arial"/>
                      <w:color w:val="111111"/>
                      <w:sz w:val="18"/>
                      <w:szCs w:val="18"/>
                      <w:lang w:eastAsia="nl-NL"/>
                    </w:rPr>
                  </w:pPr>
                  <w:r w:rsidRPr="00051281">
                    <w:rPr>
                      <w:rFonts w:ascii="Arial" w:eastAsia="Times New Roman" w:hAnsi="Arial" w:cs="Arial"/>
                      <w:color w:val="111111"/>
                      <w:sz w:val="18"/>
                      <w:szCs w:val="18"/>
                      <w:lang w:eastAsia="nl-NL"/>
                    </w:rPr>
                    <w:t>Gaza, Trump’s UN “peace” plan, and the media ecosystem deciding what you see.</w:t>
                  </w:r>
                </w:p>
              </w:tc>
              <w:tc>
                <w:tcPr>
                  <w:tcW w:w="0" w:type="auto"/>
                  <w:vAlign w:val="center"/>
                  <w:hideMark/>
                </w:tcPr>
                <w:p w:rsidR="00051281" w:rsidRPr="00051281" w:rsidRDefault="00051281" w:rsidP="00051281">
                  <w:pPr>
                    <w:spacing w:line="270" w:lineRule="atLeast"/>
                    <w:jc w:val="right"/>
                    <w:rPr>
                      <w:rFonts w:ascii="Arial" w:eastAsia="Times New Roman" w:hAnsi="Arial" w:cs="Arial"/>
                      <w:color w:val="111111"/>
                      <w:sz w:val="18"/>
                      <w:szCs w:val="18"/>
                      <w:lang w:eastAsia="nl-NL"/>
                    </w:rPr>
                  </w:pPr>
                  <w:hyperlink r:id="rId4" w:history="1">
                    <w:r w:rsidRPr="00051281">
                      <w:rPr>
                        <w:rFonts w:ascii="Arial" w:eastAsia="Times New Roman" w:hAnsi="Arial" w:cs="Arial"/>
                        <w:color w:val="111111"/>
                        <w:sz w:val="18"/>
                        <w:szCs w:val="18"/>
                        <w:u w:val="single"/>
                        <w:lang w:eastAsia="nl-NL"/>
                      </w:rPr>
                      <w:t>View in browser</w:t>
                    </w:r>
                  </w:hyperlink>
                  <w:r w:rsidRPr="00051281">
                    <w:rPr>
                      <w:rFonts w:ascii="Arial" w:eastAsia="Times New Roman" w:hAnsi="Arial" w:cs="Arial"/>
                      <w:color w:val="111111"/>
                      <w:sz w:val="18"/>
                      <w:szCs w:val="18"/>
                      <w:lang w:eastAsia="nl-NL"/>
                    </w:rPr>
                    <w:t> </w:t>
                  </w:r>
                </w:p>
              </w:tc>
            </w:tr>
            <w:tr w:rsidR="00051281" w:rsidRPr="00051281">
              <w:trPr>
                <w:trHeight w:val="300"/>
                <w:jc w:val="center"/>
              </w:trPr>
              <w:tc>
                <w:tcPr>
                  <w:tcW w:w="0" w:type="auto"/>
                  <w:gridSpan w:val="2"/>
                  <w:vAlign w:val="center"/>
                  <w:hideMark/>
                </w:tcPr>
                <w:p w:rsidR="00051281" w:rsidRPr="00051281" w:rsidRDefault="00051281" w:rsidP="00051281">
                  <w:pPr>
                    <w:spacing w:line="270" w:lineRule="atLeast"/>
                    <w:jc w:val="right"/>
                    <w:rPr>
                      <w:rFonts w:ascii="Arial" w:eastAsia="Times New Roman" w:hAnsi="Arial" w:cs="Arial"/>
                      <w:color w:val="111111"/>
                      <w:sz w:val="18"/>
                      <w:szCs w:val="18"/>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vanish/>
          <w:sz w:val="24"/>
          <w:szCs w:val="24"/>
          <w:lang w:eastAsia="nl-NL"/>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51281" w:rsidRPr="00051281" w:rsidTr="00051281">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vAlign w:val="center"/>
                              <w:hideMark/>
                            </w:tcPr>
                            <w:p w:rsidR="00051281" w:rsidRPr="00051281" w:rsidRDefault="00051281" w:rsidP="00051281">
                              <w:pPr>
                                <w:rPr>
                                  <w:rFonts w:ascii="Times New Roman" w:eastAsia="Times New Roman" w:hAnsi="Times New Roman" w:cs="Times New Roman"/>
                                  <w:sz w:val="24"/>
                                  <w:szCs w:val="24"/>
                                  <w:lang w:eastAsia="nl-NL"/>
                                </w:rPr>
                              </w:pPr>
                              <w:r w:rsidRPr="00051281">
                                <w:rPr>
                                  <w:rFonts w:ascii="Times New Roman" w:eastAsia="Times New Roman" w:hAnsi="Times New Roman" w:cs="Times New Roman"/>
                                  <w:noProof/>
                                  <w:color w:val="0000FF"/>
                                  <w:sz w:val="24"/>
                                  <w:szCs w:val="24"/>
                                  <w:lang w:eastAsia="nl-NL"/>
                                </w:rPr>
                                <w:drawing>
                                  <wp:inline distT="0" distB="0" distL="0" distR="0" wp14:anchorId="10451313" wp14:editId="3A79C25B">
                                    <wp:extent cx="6096000" cy="1905000"/>
                                    <wp:effectExtent l="0" t="0" r="0" b="0"/>
                                    <wp:docPr id="1" name="Afbeelding 1" descr="Email header image for the Weekly Briefing newsletter.">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4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675" w:lineRule="atLeast"/>
                          <w:outlineLvl w:val="0"/>
                          <w:rPr>
                            <w:rFonts w:ascii="Arial" w:eastAsia="Times New Roman" w:hAnsi="Arial" w:cs="Arial"/>
                            <w:b/>
                            <w:bCs/>
                            <w:color w:val="000000"/>
                            <w:kern w:val="36"/>
                            <w:sz w:val="54"/>
                            <w:szCs w:val="54"/>
                            <w:lang w:eastAsia="nl-NL"/>
                          </w:rPr>
                        </w:pPr>
                        <w:r w:rsidRPr="00051281">
                          <w:rPr>
                            <w:rFonts w:ascii="Arial" w:eastAsia="Times New Roman" w:hAnsi="Arial" w:cs="Arial"/>
                            <w:b/>
                            <w:bCs/>
                            <w:color w:val="000000"/>
                            <w:kern w:val="36"/>
                            <w:sz w:val="54"/>
                            <w:szCs w:val="54"/>
                            <w:lang w:eastAsia="nl-NL"/>
                          </w:rPr>
                          <w:t>The Israel lobby’s crisis and what comes next</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54"/>
                            <w:szCs w:val="5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Arial" w:eastAsia="Times New Roman" w:hAnsi="Arial" w:cs="Arial"/>
                            <w:color w:val="000000"/>
                            <w:sz w:val="27"/>
                            <w:szCs w:val="27"/>
                            <w:lang w:eastAsia="nl-NL"/>
                          </w:rPr>
                          <w:t>Next week, we launch our end-of-year fundraising campaign to sustain Mondoweiss into its twentieth year. Our goal is to raise $217,500, and thanks to generous donors, we already have $62,000 in matching funds that will double the impact of your contribution. For nineteen years, </w:t>
                        </w:r>
                        <w:r w:rsidRPr="00051281">
                          <w:rPr>
                            <w:rFonts w:ascii="Arial" w:eastAsia="Times New Roman" w:hAnsi="Arial" w:cs="Arial"/>
                            <w:i/>
                            <w:iCs/>
                            <w:color w:val="000000"/>
                            <w:sz w:val="27"/>
                            <w:szCs w:val="27"/>
                            <w:lang w:eastAsia="nl-NL"/>
                          </w:rPr>
                          <w:t>Mondoweiss</w:t>
                        </w:r>
                        <w:r w:rsidRPr="00051281">
                          <w:rPr>
                            <w:rFonts w:ascii="Arial" w:eastAsia="Times New Roman" w:hAnsi="Arial" w:cs="Arial"/>
                            <w:color w:val="000000"/>
                            <w:sz w:val="27"/>
                            <w:szCs w:val="27"/>
                            <w:lang w:eastAsia="nl-NL"/>
                          </w:rPr>
                          <w:t> has been part of the backbone of the Palestinian movement, providing reporting and analysis that organizers, educators, and community leaders rely on. If you already know you want to support this work, you can </w:t>
                        </w:r>
                        <w:hyperlink r:id="rId7" w:history="1">
                          <w:r w:rsidRPr="00051281">
                            <w:rPr>
                              <w:rFonts w:ascii="Arial" w:eastAsia="Times New Roman" w:hAnsi="Arial" w:cs="Arial"/>
                              <w:b/>
                              <w:bCs/>
                              <w:color w:val="0364AA"/>
                              <w:sz w:val="27"/>
                              <w:szCs w:val="27"/>
                              <w:u w:val="single"/>
                              <w:lang w:eastAsia="nl-NL"/>
                            </w:rPr>
                            <w:t>make a donation now</w:t>
                          </w:r>
                        </w:hyperlink>
                        <w:r w:rsidRPr="00051281">
                          <w:rPr>
                            <w:rFonts w:ascii="Arial" w:eastAsia="Times New Roman" w:hAnsi="Arial" w:cs="Arial"/>
                            <w:color w:val="000000"/>
                            <w:sz w:val="27"/>
                            <w:szCs w:val="27"/>
                            <w:lang w:eastAsia="nl-NL"/>
                          </w:rPr>
                          <w:t>; we will count it toward the campaign, and you will not receive the fundraising emails that begin on December 11. The stories in this week’s newsletter show why this kind of independent media is so important, as our reporters and contributors track how the genocide in Gaza is being repackaged and how people around the world are fighting back.</w:t>
                        </w:r>
                      </w:p>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Arial" w:eastAsia="Times New Roman" w:hAnsi="Arial" w:cs="Arial"/>
                            <w:color w:val="000000"/>
                            <w:sz w:val="27"/>
                            <w:szCs w:val="27"/>
                            <w:lang w:eastAsia="nl-NL"/>
                          </w:rPr>
                          <w:t>This week, Tareq Hajjaj reports on how Israel is using the “ceasefire” to </w:t>
                        </w:r>
                        <w:hyperlink r:id="rId8" w:history="1">
                          <w:r w:rsidRPr="00051281">
                            <w:rPr>
                              <w:rFonts w:ascii="Arial" w:eastAsia="Times New Roman" w:hAnsi="Arial" w:cs="Arial"/>
                              <w:b/>
                              <w:bCs/>
                              <w:color w:val="0364AA"/>
                              <w:sz w:val="27"/>
                              <w:szCs w:val="27"/>
                              <w:u w:val="single"/>
                              <w:lang w:eastAsia="nl-NL"/>
                            </w:rPr>
                            <w:t>tighten the siege on Gaza</w:t>
                          </w:r>
                        </w:hyperlink>
                        <w:r w:rsidRPr="00051281">
                          <w:rPr>
                            <w:rFonts w:ascii="Arial" w:eastAsia="Times New Roman" w:hAnsi="Arial" w:cs="Arial"/>
                            <w:color w:val="000000"/>
                            <w:sz w:val="27"/>
                            <w:szCs w:val="27"/>
                            <w:lang w:eastAsia="nl-NL"/>
                          </w:rPr>
                          <w:t xml:space="preserve">, blocking aid, starving people, and letting hospitals run out of basic supplies while calling it </w:t>
                        </w:r>
                        <w:r w:rsidRPr="00051281">
                          <w:rPr>
                            <w:rFonts w:ascii="Arial" w:eastAsia="Times New Roman" w:hAnsi="Arial" w:cs="Arial"/>
                            <w:color w:val="000000"/>
                            <w:sz w:val="27"/>
                            <w:szCs w:val="27"/>
                            <w:lang w:eastAsia="nl-NL"/>
                          </w:rPr>
                          <w:lastRenderedPageBreak/>
                          <w:t>“stabilization.” A story we’ve covered throughout this war is that Israel relied on Palestinian collaborators like Yasser Abu Shabab, a gang leader who looted aid convoys and helped the army control desperate civilians. </w:t>
                        </w:r>
                        <w:hyperlink r:id="rId9" w:history="1">
                          <w:r w:rsidRPr="00051281">
                            <w:rPr>
                              <w:rFonts w:ascii="Arial" w:eastAsia="Times New Roman" w:hAnsi="Arial" w:cs="Arial"/>
                              <w:b/>
                              <w:bCs/>
                              <w:color w:val="0364AA"/>
                              <w:sz w:val="27"/>
                              <w:szCs w:val="27"/>
                              <w:u w:val="single"/>
                              <w:lang w:eastAsia="nl-NL"/>
                            </w:rPr>
                            <w:t>Abu Shabab was killed</w:t>
                          </w:r>
                        </w:hyperlink>
                        <w:r w:rsidRPr="00051281">
                          <w:rPr>
                            <w:rFonts w:ascii="Arial" w:eastAsia="Times New Roman" w:hAnsi="Arial" w:cs="Arial"/>
                            <w:color w:val="000000"/>
                            <w:sz w:val="27"/>
                            <w:szCs w:val="27"/>
                            <w:lang w:eastAsia="nl-NL"/>
                          </w:rPr>
                          <w:t> this week, and Tareq has that story as well. Craig Mokhiber </w:t>
                        </w:r>
                        <w:hyperlink r:id="rId10" w:history="1">
                          <w:r w:rsidRPr="00051281">
                            <w:rPr>
                              <w:rFonts w:ascii="Arial" w:eastAsia="Times New Roman" w:hAnsi="Arial" w:cs="Arial"/>
                              <w:b/>
                              <w:bCs/>
                              <w:color w:val="0364AA"/>
                              <w:sz w:val="27"/>
                              <w:szCs w:val="27"/>
                              <w:u w:val="single"/>
                              <w:lang w:eastAsia="nl-NL"/>
                            </w:rPr>
                            <w:t>dissects</w:t>
                          </w:r>
                        </w:hyperlink>
                        <w:r w:rsidRPr="00051281">
                          <w:rPr>
                            <w:rFonts w:ascii="Arial" w:eastAsia="Times New Roman" w:hAnsi="Arial" w:cs="Arial"/>
                            <w:color w:val="000000"/>
                            <w:sz w:val="27"/>
                            <w:szCs w:val="27"/>
                            <w:lang w:eastAsia="nl-NL"/>
                          </w:rPr>
                          <w:t> the UN Security Council’s colonial “mandate” for Gaza. Foreign powers are claiming the right to manage Palestinian lives while the people themselves are treated as a problem to be contained, not a nation to be freed. Gaza is not in a postwar reconstruction phase. The genocide continues, but in a different, more insidious form.</w:t>
                        </w:r>
                      </w:p>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Arial" w:eastAsia="Times New Roman" w:hAnsi="Arial" w:cs="Arial"/>
                            <w:color w:val="000000"/>
                            <w:sz w:val="27"/>
                            <w:szCs w:val="27"/>
                            <w:lang w:eastAsia="nl-NL"/>
                          </w:rPr>
                          <w:t>Here in the U.S., Phil Weiss </w:t>
                        </w:r>
                        <w:hyperlink r:id="rId11" w:history="1">
                          <w:r w:rsidRPr="00051281">
                            <w:rPr>
                              <w:rFonts w:ascii="Arial" w:eastAsia="Times New Roman" w:hAnsi="Arial" w:cs="Arial"/>
                              <w:b/>
                              <w:bCs/>
                              <w:color w:val="0364AA"/>
                              <w:sz w:val="27"/>
                              <w:szCs w:val="27"/>
                              <w:u w:val="single"/>
                              <w:lang w:eastAsia="nl-NL"/>
                            </w:rPr>
                            <w:t>traces</w:t>
                          </w:r>
                        </w:hyperlink>
                        <w:r w:rsidRPr="00051281">
                          <w:rPr>
                            <w:rFonts w:ascii="Arial" w:eastAsia="Times New Roman" w:hAnsi="Arial" w:cs="Arial"/>
                            <w:color w:val="000000"/>
                            <w:sz w:val="27"/>
                            <w:szCs w:val="27"/>
                            <w:lang w:eastAsia="nl-NL"/>
                          </w:rPr>
                          <w:t> how two years of genocide in Gaza have pushed the American Jewish establishment and the Israel lobby into open crisis, even as figures like Hillary Clinton and Sarah Hurwitz blame social media for their loss of control. Inside the Democratic Party, </w:t>
                        </w:r>
                        <w:hyperlink r:id="rId12" w:history="1">
                          <w:r w:rsidRPr="00051281">
                            <w:rPr>
                              <w:rFonts w:ascii="Arial" w:eastAsia="Times New Roman" w:hAnsi="Arial" w:cs="Arial"/>
                              <w:b/>
                              <w:bCs/>
                              <w:color w:val="0364AA"/>
                              <w:sz w:val="27"/>
                              <w:szCs w:val="27"/>
                              <w:u w:val="single"/>
                              <w:lang w:eastAsia="nl-NL"/>
                            </w:rPr>
                            <w:t>Ben Rhodes admits</w:t>
                          </w:r>
                        </w:hyperlink>
                        <w:r w:rsidRPr="00051281">
                          <w:rPr>
                            <w:rFonts w:ascii="Arial" w:eastAsia="Times New Roman" w:hAnsi="Arial" w:cs="Arial"/>
                            <w:color w:val="000000"/>
                            <w:sz w:val="27"/>
                            <w:szCs w:val="27"/>
                            <w:lang w:eastAsia="nl-NL"/>
                          </w:rPr>
                          <w:t> what the base is already showing at the polls: support for Israel is collapsing, especially among younger voters. On the right, Tucker Carlson and Candace Owens attack U.S. policy toward Israel for their own nationalist reasons, and Matt Serif-Cullick </w:t>
                        </w:r>
                        <w:hyperlink r:id="rId13" w:history="1">
                          <w:r w:rsidRPr="00051281">
                            <w:rPr>
                              <w:rFonts w:ascii="Arial" w:eastAsia="Times New Roman" w:hAnsi="Arial" w:cs="Arial"/>
                              <w:b/>
                              <w:bCs/>
                              <w:color w:val="0364AA"/>
                              <w:sz w:val="27"/>
                              <w:szCs w:val="27"/>
                              <w:u w:val="single"/>
                              <w:lang w:eastAsia="nl-NL"/>
                            </w:rPr>
                            <w:t>warns us</w:t>
                          </w:r>
                        </w:hyperlink>
                        <w:r w:rsidRPr="00051281">
                          <w:rPr>
                            <w:rFonts w:ascii="Arial" w:eastAsia="Times New Roman" w:hAnsi="Arial" w:cs="Arial"/>
                            <w:color w:val="000000"/>
                            <w:sz w:val="27"/>
                            <w:szCs w:val="27"/>
                            <w:lang w:eastAsia="nl-NL"/>
                          </w:rPr>
                          <w:t> not to mistake that for genuine anti-Zionism. On the ground, grassroots power still matters. The campaign that freed 16-year-old Mohammed Ibrahim proves that broad, organized pressure can win concrete gains, even in the heart of Trump’s America.</w:t>
                        </w:r>
                      </w:p>
                      <w:p w:rsidR="00051281" w:rsidRPr="00051281" w:rsidRDefault="00051281" w:rsidP="00051281">
                        <w:pPr>
                          <w:spacing w:line="446" w:lineRule="atLeast"/>
                          <w:rPr>
                            <w:rFonts w:ascii="Arial" w:eastAsia="Times New Roman" w:hAnsi="Arial" w:cs="Arial"/>
                            <w:color w:val="000000"/>
                            <w:sz w:val="27"/>
                            <w:szCs w:val="27"/>
                            <w:lang w:eastAsia="nl-NL"/>
                          </w:rPr>
                        </w:pPr>
                        <w:r w:rsidRPr="00051281">
                          <w:rPr>
                            <w:rFonts w:ascii="Arial" w:eastAsia="Times New Roman" w:hAnsi="Arial" w:cs="Arial"/>
                            <w:color w:val="000000"/>
                            <w:sz w:val="27"/>
                            <w:szCs w:val="27"/>
                            <w:lang w:eastAsia="nl-NL"/>
                          </w:rPr>
                          <w:t>After you read some of the excellent coverage we published this week, please </w:t>
                        </w:r>
                        <w:hyperlink r:id="rId14" w:history="1">
                          <w:r w:rsidRPr="00051281">
                            <w:rPr>
                              <w:rFonts w:ascii="Arial" w:eastAsia="Times New Roman" w:hAnsi="Arial" w:cs="Arial"/>
                              <w:b/>
                              <w:bCs/>
                              <w:color w:val="0364AA"/>
                              <w:sz w:val="27"/>
                              <w:szCs w:val="27"/>
                              <w:u w:val="single"/>
                              <w:lang w:eastAsia="nl-NL"/>
                            </w:rPr>
                            <w:t>make a donation to our end-of-year campaign</w:t>
                          </w:r>
                        </w:hyperlink>
                        <w:r w:rsidRPr="00051281">
                          <w:rPr>
                            <w:rFonts w:ascii="Arial" w:eastAsia="Times New Roman" w:hAnsi="Arial" w:cs="Arial"/>
                            <w:color w:val="000000"/>
                            <w:sz w:val="27"/>
                            <w:szCs w:val="27"/>
                            <w:lang w:eastAsia="nl-NL"/>
                          </w:rPr>
                          <w:t>. You rely on our work, and we rely on you.</w:t>
                        </w:r>
                      </w:p>
                    </w:tc>
                  </w:tr>
                  <w:tr w:rsidR="00051281" w:rsidRPr="00051281">
                    <w:trPr>
                      <w:trHeight w:val="30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27"/>
                            <w:szCs w:val="27"/>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2851"/>
                        </w:tblGrid>
                        <w:tr w:rsidR="00051281" w:rsidRPr="00051281">
                          <w:trPr>
                            <w:trHeight w:val="450"/>
                          </w:trPr>
                          <w:tc>
                            <w:tcPr>
                              <w:tcW w:w="1200" w:type="dxa"/>
                              <w:vAlign w:val="center"/>
                              <w:hideMark/>
                            </w:tcPr>
                            <w:p w:rsidR="00051281" w:rsidRPr="00051281" w:rsidRDefault="00051281" w:rsidP="00051281">
                              <w:pPr>
                                <w:jc w:val="center"/>
                                <w:rPr>
                                  <w:rFonts w:ascii="Times New Roman" w:eastAsia="Times New Roman" w:hAnsi="Times New Roman" w:cs="Times New Roman"/>
                                  <w:color w:val="000000"/>
                                  <w:sz w:val="24"/>
                                  <w:szCs w:val="24"/>
                                  <w:lang w:eastAsia="nl-NL"/>
                                </w:rPr>
                              </w:pPr>
                              <w:r w:rsidRPr="00051281">
                                <w:rPr>
                                  <w:rFonts w:ascii="Times New Roman" w:eastAsia="Times New Roman" w:hAnsi="Times New Roman" w:cs="Times New Roman"/>
                                  <w:noProof/>
                                  <w:color w:val="000000"/>
                                  <w:sz w:val="24"/>
                                  <w:szCs w:val="24"/>
                                  <w:lang w:eastAsia="nl-NL"/>
                                </w:rPr>
                                <w:drawing>
                                  <wp:inline distT="0" distB="0" distL="0" distR="0" wp14:anchorId="44F9897B" wp14:editId="58672146">
                                    <wp:extent cx="762000" cy="762000"/>
                                    <wp:effectExtent l="0" t="0" r="0" b="0"/>
                                    <wp:docPr id="2" name="Afbeelding 2"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rsidR="00051281" w:rsidRPr="00051281" w:rsidRDefault="00051281" w:rsidP="00051281">
                              <w:pPr>
                                <w:jc w:val="center"/>
                                <w:rPr>
                                  <w:rFonts w:ascii="Times New Roman" w:eastAsia="Times New Roman" w:hAnsi="Times New Roman" w:cs="Times New Roman"/>
                                  <w:color w:val="000000"/>
                                  <w:sz w:val="24"/>
                                  <w:szCs w:val="24"/>
                                  <w:lang w:eastAsia="nl-NL"/>
                                </w:rPr>
                              </w:pPr>
                            </w:p>
                          </w:tc>
                          <w:tc>
                            <w:tcPr>
                              <w:tcW w:w="0" w:type="auto"/>
                              <w:vAlign w:val="center"/>
                              <w:hideMark/>
                            </w:tcPr>
                            <w:p w:rsidR="00051281" w:rsidRPr="00051281" w:rsidRDefault="00051281" w:rsidP="00051281">
                              <w:pPr>
                                <w:spacing w:after="120" w:line="338" w:lineRule="atLeast"/>
                                <w:outlineLvl w:val="2"/>
                                <w:rPr>
                                  <w:rFonts w:ascii="Arial" w:eastAsia="Times New Roman" w:hAnsi="Arial" w:cs="Arial"/>
                                  <w:b/>
                                  <w:bCs/>
                                  <w:color w:val="000000"/>
                                  <w:sz w:val="27"/>
                                  <w:szCs w:val="27"/>
                                  <w:lang w:eastAsia="nl-NL"/>
                                </w:rPr>
                              </w:pPr>
                              <w:r w:rsidRPr="00051281">
                                <w:rPr>
                                  <w:rFonts w:ascii="Arial" w:eastAsia="Times New Roman" w:hAnsi="Arial" w:cs="Arial"/>
                                  <w:b/>
                                  <w:bCs/>
                                  <w:color w:val="000000"/>
                                  <w:sz w:val="27"/>
                                  <w:szCs w:val="27"/>
                                  <w:lang w:eastAsia="nl-NL"/>
                                </w:rPr>
                                <w:t>David Reed, Publisher</w:t>
                              </w:r>
                            </w:p>
                            <w:p w:rsidR="00051281" w:rsidRPr="00051281" w:rsidRDefault="00051281" w:rsidP="00051281">
                              <w:pPr>
                                <w:spacing w:line="446" w:lineRule="atLeast"/>
                                <w:rPr>
                                  <w:rFonts w:ascii="Arial" w:eastAsia="Times New Roman" w:hAnsi="Arial" w:cs="Arial"/>
                                  <w:color w:val="000000"/>
                                  <w:sz w:val="27"/>
                                  <w:szCs w:val="27"/>
                                  <w:lang w:eastAsia="nl-NL"/>
                                </w:rPr>
                              </w:pPr>
                              <w:hyperlink r:id="rId16" w:history="1">
                                <w:r w:rsidRPr="00051281">
                                  <w:rPr>
                                    <w:rFonts w:ascii="Arial" w:eastAsia="Times New Roman" w:hAnsi="Arial" w:cs="Arial"/>
                                    <w:color w:val="0364AA"/>
                                    <w:sz w:val="27"/>
                                    <w:szCs w:val="27"/>
                                    <w:u w:val="single"/>
                                    <w:lang w:eastAsia="nl-NL"/>
                                  </w:rPr>
                                  <w:t>Articles</w:t>
                                </w:r>
                              </w:hyperlink>
                              <w:r w:rsidRPr="00051281">
                                <w:rPr>
                                  <w:rFonts w:ascii="Arial" w:eastAsia="Times New Roman" w:hAnsi="Arial" w:cs="Arial"/>
                                  <w:color w:val="000000"/>
                                  <w:sz w:val="27"/>
                                  <w:szCs w:val="27"/>
                                  <w:lang w:eastAsia="nl-NL"/>
                                </w:rPr>
                                <w:t> / </w:t>
                              </w:r>
                              <w:hyperlink r:id="rId17" w:history="1">
                                <w:r w:rsidRPr="00051281">
                                  <w:rPr>
                                    <w:rFonts w:ascii="Arial" w:eastAsia="Times New Roman" w:hAnsi="Arial" w:cs="Arial"/>
                                    <w:color w:val="0364AA"/>
                                    <w:sz w:val="27"/>
                                    <w:szCs w:val="27"/>
                                    <w:u w:val="single"/>
                                    <w:lang w:eastAsia="nl-NL"/>
                                  </w:rPr>
                                  <w:t>Donate today</w:t>
                                </w:r>
                              </w:hyperlink>
                            </w:p>
                          </w:tc>
                        </w:tr>
                      </w:tbl>
                      <w:p w:rsidR="00051281" w:rsidRPr="00051281" w:rsidRDefault="00051281" w:rsidP="00051281">
                        <w:pPr>
                          <w:rPr>
                            <w:rFonts w:ascii="Times New Roman" w:eastAsia="Times New Roman" w:hAnsi="Times New Roman" w:cs="Times New Roman"/>
                            <w:color w:val="000000"/>
                            <w:sz w:val="24"/>
                            <w:szCs w:val="24"/>
                            <w:lang w:eastAsia="nl-NL"/>
                          </w:rPr>
                        </w:pP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Times New Roman" w:eastAsia="Times New Roman" w:hAnsi="Times New Roman" w:cs="Times New Roman"/>
                            <w:sz w:val="20"/>
                            <w:szCs w:val="20"/>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51281" w:rsidRPr="00051281">
                                <w:trPr>
                                  <w:jc w:val="center"/>
                                </w:trPr>
                                <w:tc>
                                  <w:tcPr>
                                    <w:tcW w:w="0" w:type="auto"/>
                                    <w:tcBorders>
                                      <w:top w:val="single" w:sz="6" w:space="0" w:color="EAECED"/>
                                    </w:tcBorders>
                                    <w:vAlign w:val="center"/>
                                    <w:hideMark/>
                                  </w:tcPr>
                                  <w:p w:rsidR="00051281" w:rsidRPr="00051281" w:rsidRDefault="00051281" w:rsidP="00051281">
                                    <w:pPr>
                                      <w:spacing w:line="300" w:lineRule="atLeast"/>
                                      <w:rPr>
                                        <w:rFonts w:ascii="Times New Roman" w:eastAsia="Times New Roman" w:hAnsi="Times New Roman" w:cs="Times New Roman"/>
                                        <w:sz w:val="20"/>
                                        <w:szCs w:val="20"/>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r w:rsidR="00051281" w:rsidRPr="00051281">
                    <w:trPr>
                      <w:trHeight w:val="300"/>
                      <w:jc w:val="center"/>
                    </w:trPr>
                    <w:tc>
                      <w:tcPr>
                        <w:tcW w:w="0" w:type="auto"/>
                        <w:shd w:val="clear" w:color="auto" w:fill="FFFFFF"/>
                        <w:vAlign w:val="center"/>
                        <w:hideMark/>
                      </w:tcPr>
                      <w:p w:rsidR="00051281" w:rsidRPr="00051281" w:rsidRDefault="00051281" w:rsidP="00051281">
                        <w:pPr>
                          <w:rPr>
                            <w:rFonts w:ascii="Times New Roman" w:eastAsia="Times New Roman" w:hAnsi="Times New Roman" w:cs="Times New Roman"/>
                            <w:sz w:val="20"/>
                            <w:szCs w:val="20"/>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488" w:lineRule="atLeast"/>
                          <w:outlineLvl w:val="1"/>
                          <w:rPr>
                            <w:rFonts w:ascii="Arial" w:eastAsia="Times New Roman" w:hAnsi="Arial" w:cs="Arial"/>
                            <w:b/>
                            <w:bCs/>
                            <w:color w:val="000000"/>
                            <w:sz w:val="39"/>
                            <w:szCs w:val="39"/>
                            <w:lang w:eastAsia="nl-NL"/>
                          </w:rPr>
                        </w:pPr>
                        <w:r w:rsidRPr="00051281">
                          <w:rPr>
                            <w:rFonts w:ascii="Arial" w:eastAsia="Times New Roman" w:hAnsi="Arial" w:cs="Arial"/>
                            <w:b/>
                            <w:bCs/>
                            <w:color w:val="000000"/>
                            <w:sz w:val="39"/>
                            <w:szCs w:val="39"/>
                            <w:lang w:eastAsia="nl-NL"/>
                          </w:rPr>
                          <w:t>Must read </w:t>
                        </w:r>
                        <w:hyperlink r:id="rId18" w:history="1">
                          <w:r w:rsidRPr="00051281">
                            <w:rPr>
                              <w:rFonts w:ascii="Arial" w:eastAsia="Times New Roman" w:hAnsi="Arial" w:cs="Arial"/>
                              <w:b/>
                              <w:bCs/>
                              <w:color w:val="000000"/>
                              <w:sz w:val="39"/>
                              <w:szCs w:val="39"/>
                              <w:u w:val="single"/>
                              <w:lang w:eastAsia="nl-NL"/>
                            </w:rPr>
                            <w:t>The Israel lobby is melting down before our eyes</w:t>
                          </w:r>
                        </w:hyperlink>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39"/>
                            <w:szCs w:val="39"/>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446" w:lineRule="atLeast"/>
                          <w:rPr>
                            <w:rFonts w:ascii="Arial" w:eastAsia="Times New Roman" w:hAnsi="Arial" w:cs="Arial"/>
                            <w:color w:val="000000"/>
                            <w:sz w:val="27"/>
                            <w:szCs w:val="27"/>
                            <w:lang w:eastAsia="nl-NL"/>
                          </w:rPr>
                        </w:pPr>
                        <w:r w:rsidRPr="00051281">
                          <w:rPr>
                            <w:rFonts w:ascii="Arial" w:eastAsia="Times New Roman" w:hAnsi="Arial" w:cs="Arial"/>
                            <w:b/>
                            <w:bCs/>
                            <w:color w:val="000000"/>
                            <w:sz w:val="27"/>
                            <w:szCs w:val="27"/>
                            <w:lang w:eastAsia="nl-NL"/>
                          </w:rPr>
                          <w:t>Phil Weiss:</w:t>
                        </w:r>
                        <w:r w:rsidRPr="00051281">
                          <w:rPr>
                            <w:rFonts w:ascii="Arial" w:eastAsia="Times New Roman" w:hAnsi="Arial" w:cs="Arial"/>
                            <w:color w:val="000000"/>
                            <w:sz w:val="27"/>
                            <w:szCs w:val="27"/>
                            <w:lang w:eastAsia="nl-NL"/>
                          </w:rPr>
                          <w:t> The American Jewish community is in open crisis over its support for Israel after two years of genocide in Gaza. A key issue in this crisis is a topic once considered too taboo to criticize: the Israel lobby.</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27"/>
                            <w:szCs w:val="27"/>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tcMar>
                                <w:top w:w="0" w:type="dxa"/>
                                <w:left w:w="750" w:type="dxa"/>
                                <w:bottom w:w="0" w:type="dxa"/>
                                <w:right w:w="750" w:type="dxa"/>
                              </w:tcMar>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r w:rsidRPr="00051281">
                                <w:rPr>
                                  <w:rFonts w:ascii="Times New Roman" w:eastAsia="Times New Roman" w:hAnsi="Times New Roman" w:cs="Times New Roman"/>
                                  <w:noProof/>
                                  <w:color w:val="0000FF"/>
                                  <w:sz w:val="24"/>
                                  <w:szCs w:val="24"/>
                                  <w:lang w:eastAsia="nl-NL"/>
                                </w:rPr>
                                <w:drawing>
                                  <wp:inline distT="0" distB="0" distL="0" distR="0" wp14:anchorId="341C1BC3" wp14:editId="6EF488E6">
                                    <wp:extent cx="5143500" cy="3419475"/>
                                    <wp:effectExtent l="0" t="0" r="0" b="9525"/>
                                    <wp:docPr id="3" name="Afbeelding 3" descr="Workers put the finishing touches on the stage at the annual American Israel Public Affairs Conference in Washington in March 2015. (Photo: Pete Marovich/European Pressphoto Agency)">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ers put the finishing touches on the stage at the annual American Israel Public Affairs Conference in Washington in March 2015. (Photo: Pete Marovich/European Pressphoto Agency)">
                                              <a:hlinkClick r:id="rId19" tgtFrame="&quot;_self&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0" cy="3419475"/>
                                            </a:xfrm>
                                            <a:prstGeom prst="rect">
                                              <a:avLst/>
                                            </a:prstGeom>
                                            <a:noFill/>
                                            <a:ln>
                                              <a:noFill/>
                                            </a:ln>
                                          </pic:spPr>
                                        </pic:pic>
                                      </a:graphicData>
                                    </a:graphic>
                                  </wp:inline>
                                </w:drawing>
                              </w: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248" w:lineRule="atLeast"/>
                          <w:rPr>
                            <w:rFonts w:ascii="Arial" w:eastAsia="Times New Roman" w:hAnsi="Arial" w:cs="Arial"/>
                            <w:color w:val="666666"/>
                            <w:sz w:val="15"/>
                            <w:szCs w:val="15"/>
                            <w:lang w:eastAsia="nl-NL"/>
                          </w:rPr>
                        </w:pPr>
                        <w:r w:rsidRPr="00051281">
                          <w:rPr>
                            <w:rFonts w:ascii="Arial" w:eastAsia="Times New Roman" w:hAnsi="Arial" w:cs="Arial"/>
                            <w:color w:val="666666"/>
                            <w:sz w:val="15"/>
                            <w:szCs w:val="15"/>
                            <w:lang w:eastAsia="nl-NL"/>
                          </w:rPr>
                          <w:t>Workers put the finishing touches on the stage at the annual American Israel Public Affairs Conference in Washington in March 2015. (Photo: Pete Marovich European Pressphoto Agency)</w:t>
                        </w:r>
                      </w:p>
                    </w:tc>
                  </w:tr>
                  <w:tr w:rsidR="00051281" w:rsidRPr="00051281">
                    <w:trPr>
                      <w:trHeight w:val="30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666666"/>
                            <w:sz w:val="15"/>
                            <w:szCs w:val="15"/>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51281" w:rsidRPr="00051281">
                                <w:trPr>
                                  <w:jc w:val="center"/>
                                </w:trPr>
                                <w:tc>
                                  <w:tcPr>
                                    <w:tcW w:w="0" w:type="auto"/>
                                    <w:tcBorders>
                                      <w:top w:val="single" w:sz="6" w:space="0" w:color="EAECED"/>
                                    </w:tcBorders>
                                    <w:vAlign w:val="center"/>
                                    <w:hideMark/>
                                  </w:tcPr>
                                  <w:p w:rsidR="00051281" w:rsidRPr="00051281" w:rsidRDefault="00051281" w:rsidP="00051281">
                                    <w:pPr>
                                      <w:spacing w:line="300" w:lineRule="atLeast"/>
                                      <w:rPr>
                                        <w:rFonts w:ascii="Times New Roman" w:eastAsia="Times New Roman" w:hAnsi="Times New Roman" w:cs="Times New Roman"/>
                                        <w:sz w:val="20"/>
                                        <w:szCs w:val="20"/>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r w:rsidR="00051281" w:rsidRPr="00051281">
                    <w:trPr>
                      <w:trHeight w:val="300"/>
                      <w:jc w:val="center"/>
                    </w:trPr>
                    <w:tc>
                      <w:tcPr>
                        <w:tcW w:w="0" w:type="auto"/>
                        <w:shd w:val="clear" w:color="auto" w:fill="FFFFFF"/>
                        <w:vAlign w:val="center"/>
                        <w:hideMark/>
                      </w:tcPr>
                      <w:p w:rsidR="00051281" w:rsidRPr="00051281" w:rsidRDefault="00051281" w:rsidP="00051281">
                        <w:pPr>
                          <w:rPr>
                            <w:rFonts w:ascii="Times New Roman" w:eastAsia="Times New Roman" w:hAnsi="Times New Roman" w:cs="Times New Roman"/>
                            <w:sz w:val="20"/>
                            <w:szCs w:val="20"/>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675" w:lineRule="atLeast"/>
                          <w:outlineLvl w:val="0"/>
                          <w:rPr>
                            <w:rFonts w:ascii="Arial" w:eastAsia="Times New Roman" w:hAnsi="Arial" w:cs="Arial"/>
                            <w:b/>
                            <w:bCs/>
                            <w:color w:val="000000"/>
                            <w:kern w:val="36"/>
                            <w:sz w:val="54"/>
                            <w:szCs w:val="54"/>
                            <w:lang w:eastAsia="nl-NL"/>
                          </w:rPr>
                        </w:pPr>
                        <w:r w:rsidRPr="00051281">
                          <w:rPr>
                            <w:rFonts w:ascii="Arial" w:eastAsia="Times New Roman" w:hAnsi="Arial" w:cs="Arial"/>
                            <w:b/>
                            <w:bCs/>
                            <w:color w:val="000000"/>
                            <w:kern w:val="36"/>
                            <w:sz w:val="54"/>
                            <w:szCs w:val="54"/>
                            <w:lang w:eastAsia="nl-NL"/>
                          </w:rPr>
                          <w:t>Genocide in Gaza</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54"/>
                            <w:szCs w:val="5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Tareq Hajjaj:</w:t>
                        </w:r>
                        <w:r w:rsidRPr="00051281">
                          <w:rPr>
                            <w:rFonts w:ascii="Arial" w:eastAsia="Times New Roman" w:hAnsi="Arial" w:cs="Arial"/>
                            <w:color w:val="000000"/>
                            <w:sz w:val="27"/>
                            <w:szCs w:val="27"/>
                            <w:lang w:eastAsia="nl-NL"/>
                          </w:rPr>
                          <w:t> Most Palestinians in Gaza say they </w:t>
                        </w:r>
                        <w:hyperlink r:id="rId21" w:history="1">
                          <w:r w:rsidRPr="00051281">
                            <w:rPr>
                              <w:rFonts w:ascii="Arial" w:eastAsia="Times New Roman" w:hAnsi="Arial" w:cs="Arial"/>
                              <w:b/>
                              <w:bCs/>
                              <w:color w:val="0364AA"/>
                              <w:sz w:val="27"/>
                              <w:szCs w:val="27"/>
                              <w:u w:val="single"/>
                              <w:lang w:eastAsia="nl-NL"/>
                            </w:rPr>
                            <w:t>don’t feel the relief they expected after the ceasefire</w:t>
                          </w:r>
                        </w:hyperlink>
                        <w:r w:rsidRPr="00051281">
                          <w:rPr>
                            <w:rFonts w:ascii="Arial" w:eastAsia="Times New Roman" w:hAnsi="Arial" w:cs="Arial"/>
                            <w:color w:val="000000"/>
                            <w:sz w:val="27"/>
                            <w:szCs w:val="27"/>
                            <w:lang w:eastAsia="nl-NL"/>
                          </w:rPr>
                          <w:t>. Israel keeps blocking aid into the strip, delaying reconstruction efforts, and leaving hospitals short on supplies, while people go hungry every day.</w:t>
                        </w:r>
                      </w:p>
                      <w:p w:rsidR="00051281" w:rsidRPr="00051281" w:rsidRDefault="00051281" w:rsidP="00051281">
                        <w:pPr>
                          <w:spacing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lastRenderedPageBreak/>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Tareq Hajjaj:</w:t>
                        </w:r>
                        <w:r w:rsidRPr="00051281">
                          <w:rPr>
                            <w:rFonts w:ascii="Arial" w:eastAsia="Times New Roman" w:hAnsi="Arial" w:cs="Arial"/>
                            <w:color w:val="000000"/>
                            <w:sz w:val="27"/>
                            <w:szCs w:val="27"/>
                            <w:lang w:eastAsia="nl-NL"/>
                          </w:rPr>
                          <w:t> Yasser Abu Shabab had become an infamous figure in Gaza over the past two years for his role in </w:t>
                        </w:r>
                        <w:hyperlink r:id="rId22" w:history="1">
                          <w:r w:rsidRPr="00051281">
                            <w:rPr>
                              <w:rFonts w:ascii="Arial" w:eastAsia="Times New Roman" w:hAnsi="Arial" w:cs="Arial"/>
                              <w:b/>
                              <w:bCs/>
                              <w:color w:val="0364AA"/>
                              <w:sz w:val="27"/>
                              <w:szCs w:val="27"/>
                              <w:u w:val="single"/>
                              <w:lang w:eastAsia="nl-NL"/>
                            </w:rPr>
                            <w:t>collaborating with the Israeli army</w:t>
                          </w:r>
                        </w:hyperlink>
                        <w:r w:rsidRPr="00051281">
                          <w:rPr>
                            <w:rFonts w:ascii="Arial" w:eastAsia="Times New Roman" w:hAnsi="Arial" w:cs="Arial"/>
                            <w:color w:val="000000"/>
                            <w:sz w:val="27"/>
                            <w:szCs w:val="27"/>
                            <w:lang w:eastAsia="nl-NL"/>
                          </w:rPr>
                          <w:t>, looting aid convoys destined for starving Palestinians, and sowing social strife amid the genocide.</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27"/>
                            <w:szCs w:val="27"/>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51281" w:rsidRPr="00051281">
                                <w:trPr>
                                  <w:jc w:val="center"/>
                                </w:trPr>
                                <w:tc>
                                  <w:tcPr>
                                    <w:tcW w:w="0" w:type="auto"/>
                                    <w:tcBorders>
                                      <w:top w:val="single" w:sz="6" w:space="0" w:color="EAECED"/>
                                    </w:tcBorders>
                                    <w:vAlign w:val="center"/>
                                    <w:hideMark/>
                                  </w:tcPr>
                                  <w:p w:rsidR="00051281" w:rsidRPr="00051281" w:rsidRDefault="00051281" w:rsidP="00051281">
                                    <w:pPr>
                                      <w:spacing w:line="300" w:lineRule="atLeast"/>
                                      <w:rPr>
                                        <w:rFonts w:ascii="Times New Roman" w:eastAsia="Times New Roman" w:hAnsi="Times New Roman" w:cs="Times New Roman"/>
                                        <w:sz w:val="20"/>
                                        <w:szCs w:val="20"/>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r w:rsidR="00051281" w:rsidRPr="00051281">
                    <w:trPr>
                      <w:trHeight w:val="300"/>
                      <w:jc w:val="center"/>
                    </w:trPr>
                    <w:tc>
                      <w:tcPr>
                        <w:tcW w:w="0" w:type="auto"/>
                        <w:shd w:val="clear" w:color="auto" w:fill="FFFFFF"/>
                        <w:vAlign w:val="center"/>
                        <w:hideMark/>
                      </w:tcPr>
                      <w:p w:rsidR="00051281" w:rsidRPr="00051281" w:rsidRDefault="00051281" w:rsidP="00051281">
                        <w:pPr>
                          <w:rPr>
                            <w:rFonts w:ascii="Times New Roman" w:eastAsia="Times New Roman" w:hAnsi="Times New Roman" w:cs="Times New Roman"/>
                            <w:sz w:val="20"/>
                            <w:szCs w:val="20"/>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line="675" w:lineRule="atLeast"/>
                          <w:outlineLvl w:val="0"/>
                          <w:rPr>
                            <w:rFonts w:ascii="Arial" w:eastAsia="Times New Roman" w:hAnsi="Arial" w:cs="Arial"/>
                            <w:b/>
                            <w:bCs/>
                            <w:color w:val="000000"/>
                            <w:kern w:val="36"/>
                            <w:sz w:val="54"/>
                            <w:szCs w:val="54"/>
                            <w:lang w:eastAsia="nl-NL"/>
                          </w:rPr>
                        </w:pPr>
                        <w:r w:rsidRPr="00051281">
                          <w:rPr>
                            <w:rFonts w:ascii="Arial" w:eastAsia="Times New Roman" w:hAnsi="Arial" w:cs="Arial"/>
                            <w:b/>
                            <w:bCs/>
                            <w:color w:val="000000"/>
                            <w:kern w:val="36"/>
                            <w:sz w:val="54"/>
                            <w:szCs w:val="54"/>
                            <w:lang w:eastAsia="nl-NL"/>
                          </w:rPr>
                          <w:t>Catch-up</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54"/>
                            <w:szCs w:val="5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15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tcMar>
                          <w:top w:w="0" w:type="dxa"/>
                          <w:left w:w="750" w:type="dxa"/>
                          <w:bottom w:w="0" w:type="dxa"/>
                          <w:right w:w="750" w:type="dxa"/>
                        </w:tcMar>
                        <w:vAlign w:val="center"/>
                        <w:hideMark/>
                      </w:tcPr>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Mitchell Plitnick:</w:t>
                        </w:r>
                        <w:r w:rsidRPr="00051281">
                          <w:rPr>
                            <w:rFonts w:ascii="Arial" w:eastAsia="Times New Roman" w:hAnsi="Arial" w:cs="Arial"/>
                            <w:color w:val="000000"/>
                            <w:sz w:val="27"/>
                            <w:szCs w:val="27"/>
                            <w:lang w:eastAsia="nl-NL"/>
                          </w:rPr>
                          <w:t> As Hillary Clinton and Sarah Hurwitz blame the rising support for Palestine within the Democratic Party on social media, former Obama staffer Ben Rhodes </w:t>
                        </w:r>
                        <w:hyperlink r:id="rId23" w:history="1">
                          <w:r w:rsidRPr="00051281">
                            <w:rPr>
                              <w:rFonts w:ascii="Arial" w:eastAsia="Times New Roman" w:hAnsi="Arial" w:cs="Arial"/>
                              <w:b/>
                              <w:bCs/>
                              <w:color w:val="0364AA"/>
                              <w:sz w:val="27"/>
                              <w:szCs w:val="27"/>
                              <w:u w:val="single"/>
                              <w:lang w:eastAsia="nl-NL"/>
                            </w:rPr>
                            <w:t>makes clear why Democrats are turning on Israel</w:t>
                          </w:r>
                        </w:hyperlink>
                        <w:r w:rsidRPr="00051281">
                          <w:rPr>
                            <w:rFonts w:ascii="Arial" w:eastAsia="Times New Roman" w:hAnsi="Arial" w:cs="Arial"/>
                            <w:color w:val="000000"/>
                            <w:sz w:val="27"/>
                            <w:szCs w:val="27"/>
                            <w:lang w:eastAsia="nl-NL"/>
                          </w:rPr>
                          <w:t> and what this means for the party moving forward.</w:t>
                        </w:r>
                      </w:p>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Michael Arria:</w:t>
                        </w:r>
                        <w:r w:rsidRPr="00051281">
                          <w:rPr>
                            <w:rFonts w:ascii="Arial" w:eastAsia="Times New Roman" w:hAnsi="Arial" w:cs="Arial"/>
                            <w:color w:val="000000"/>
                            <w:sz w:val="27"/>
                            <w:szCs w:val="27"/>
                            <w:lang w:eastAsia="nl-NL"/>
                          </w:rPr>
                          <w:t> Last month, 16-year-old Palestinian-American Mohammed Ibrahim was </w:t>
                        </w:r>
                        <w:hyperlink r:id="rId24" w:history="1">
                          <w:r w:rsidRPr="00051281">
                            <w:rPr>
                              <w:rFonts w:ascii="Arial" w:eastAsia="Times New Roman" w:hAnsi="Arial" w:cs="Arial"/>
                              <w:b/>
                              <w:bCs/>
                              <w:color w:val="0364AA"/>
                              <w:sz w:val="27"/>
                              <w:szCs w:val="27"/>
                              <w:u w:val="single"/>
                              <w:lang w:eastAsia="nl-NL"/>
                            </w:rPr>
                            <w:t>finally released after nearly 10 months</w:t>
                          </w:r>
                        </w:hyperlink>
                        <w:r w:rsidRPr="00051281">
                          <w:rPr>
                            <w:rFonts w:ascii="Arial" w:eastAsia="Times New Roman" w:hAnsi="Arial" w:cs="Arial"/>
                            <w:color w:val="000000"/>
                            <w:sz w:val="27"/>
                            <w:szCs w:val="27"/>
                            <w:lang w:eastAsia="nl-NL"/>
                          </w:rPr>
                          <w:t> in an Israeli prison. His freedom follows a campaign by over 100 organizations pressuring the Trump administration to intervene on his behalf.</w:t>
                        </w:r>
                      </w:p>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Qassam Muaddi:</w:t>
                        </w:r>
                        <w:r w:rsidRPr="00051281">
                          <w:rPr>
                            <w:rFonts w:ascii="Arial" w:eastAsia="Times New Roman" w:hAnsi="Arial" w:cs="Arial"/>
                            <w:color w:val="000000"/>
                            <w:sz w:val="27"/>
                            <w:szCs w:val="27"/>
                            <w:lang w:eastAsia="nl-NL"/>
                          </w:rPr>
                          <w:t> Palestinians displaced from refugee camps in the northern West Bank are </w:t>
                        </w:r>
                        <w:hyperlink r:id="rId25" w:history="1">
                          <w:r w:rsidRPr="00051281">
                            <w:rPr>
                              <w:rFonts w:ascii="Arial" w:eastAsia="Times New Roman" w:hAnsi="Arial" w:cs="Arial"/>
                              <w:b/>
                              <w:bCs/>
                              <w:color w:val="0364AA"/>
                              <w:sz w:val="27"/>
                              <w:szCs w:val="27"/>
                              <w:u w:val="single"/>
                              <w:lang w:eastAsia="nl-NL"/>
                            </w:rPr>
                            <w:t>demanding to return to their homes</w:t>
                          </w:r>
                        </w:hyperlink>
                        <w:r w:rsidRPr="00051281">
                          <w:rPr>
                            <w:rFonts w:ascii="Arial" w:eastAsia="Times New Roman" w:hAnsi="Arial" w:cs="Arial"/>
                            <w:color w:val="000000"/>
                            <w:sz w:val="27"/>
                            <w:szCs w:val="27"/>
                            <w:lang w:eastAsia="nl-NL"/>
                          </w:rPr>
                          <w:t> after an Israeli military takeover of the camps, and they fear that proposed U.S. plans for rebuilding the camps will completely erase them.</w:t>
                        </w:r>
                      </w:p>
                      <w:p w:rsidR="00051281" w:rsidRPr="00051281" w:rsidRDefault="00051281" w:rsidP="00051281">
                        <w:pPr>
                          <w:spacing w:after="150"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Craig Mokhiber:</w:t>
                        </w:r>
                        <w:r w:rsidRPr="00051281">
                          <w:rPr>
                            <w:rFonts w:ascii="Arial" w:eastAsia="Times New Roman" w:hAnsi="Arial" w:cs="Arial"/>
                            <w:color w:val="000000"/>
                            <w:sz w:val="27"/>
                            <w:szCs w:val="27"/>
                            <w:lang w:eastAsia="nl-NL"/>
                          </w:rPr>
                          <w:t> The UN Security Council resolution backing the Trump plan for Gaza is clearly illegitimate, but there are several ways that </w:t>
                        </w:r>
                        <w:hyperlink r:id="rId26" w:history="1">
                          <w:r w:rsidRPr="00051281">
                            <w:rPr>
                              <w:rFonts w:ascii="Arial" w:eastAsia="Times New Roman" w:hAnsi="Arial" w:cs="Arial"/>
                              <w:b/>
                              <w:bCs/>
                              <w:color w:val="0364AA"/>
                              <w:sz w:val="27"/>
                              <w:szCs w:val="27"/>
                              <w:u w:val="single"/>
                              <w:lang w:eastAsia="nl-NL"/>
                            </w:rPr>
                            <w:t>states and individuals worldwide can challenge its illegality</w:t>
                          </w:r>
                        </w:hyperlink>
                        <w:r w:rsidRPr="00051281">
                          <w:rPr>
                            <w:rFonts w:ascii="Arial" w:eastAsia="Times New Roman" w:hAnsi="Arial" w:cs="Arial"/>
                            <w:color w:val="000000"/>
                            <w:sz w:val="27"/>
                            <w:szCs w:val="27"/>
                            <w:lang w:eastAsia="nl-NL"/>
                          </w:rPr>
                          <w:t>.</w:t>
                        </w:r>
                      </w:p>
                      <w:p w:rsidR="00051281" w:rsidRPr="00051281" w:rsidRDefault="00051281" w:rsidP="00051281">
                        <w:pPr>
                          <w:spacing w:line="446" w:lineRule="atLeast"/>
                          <w:rPr>
                            <w:rFonts w:ascii="Arial" w:eastAsia="Times New Roman" w:hAnsi="Arial" w:cs="Arial"/>
                            <w:color w:val="000000"/>
                            <w:sz w:val="27"/>
                            <w:szCs w:val="27"/>
                            <w:lang w:eastAsia="nl-NL"/>
                          </w:rPr>
                        </w:pPr>
                        <w:r w:rsidRPr="00051281">
                          <w:rPr>
                            <w:rFonts w:ascii="Segoe UI Symbol" w:eastAsia="Times New Roman" w:hAnsi="Segoe UI Symbol" w:cs="Segoe UI Symbol"/>
                            <w:color w:val="000000"/>
                            <w:sz w:val="27"/>
                            <w:szCs w:val="27"/>
                            <w:lang w:eastAsia="nl-NL"/>
                          </w:rPr>
                          <w:t>➡️</w:t>
                        </w:r>
                        <w:r w:rsidRPr="00051281">
                          <w:rPr>
                            <w:rFonts w:ascii="Arial" w:eastAsia="Times New Roman" w:hAnsi="Arial" w:cs="Arial"/>
                            <w:color w:val="000000"/>
                            <w:sz w:val="27"/>
                            <w:szCs w:val="27"/>
                            <w:lang w:eastAsia="nl-NL"/>
                          </w:rPr>
                          <w:t> </w:t>
                        </w:r>
                        <w:r w:rsidRPr="00051281">
                          <w:rPr>
                            <w:rFonts w:ascii="Arial" w:eastAsia="Times New Roman" w:hAnsi="Arial" w:cs="Arial"/>
                            <w:b/>
                            <w:bCs/>
                            <w:color w:val="000000"/>
                            <w:sz w:val="27"/>
                            <w:szCs w:val="27"/>
                            <w:lang w:eastAsia="nl-NL"/>
                          </w:rPr>
                          <w:t>Matt Serif-Cullick:</w:t>
                        </w:r>
                        <w:r w:rsidRPr="00051281">
                          <w:rPr>
                            <w:rFonts w:ascii="Arial" w:eastAsia="Times New Roman" w:hAnsi="Arial" w:cs="Arial"/>
                            <w:color w:val="000000"/>
                            <w:sz w:val="27"/>
                            <w:szCs w:val="27"/>
                            <w:lang w:eastAsia="nl-NL"/>
                          </w:rPr>
                          <w:t xml:space="preserve"> Recent comments by Tucker Carlson and Candace Owens have drawn more attention to right-wing critiques </w:t>
                        </w:r>
                        <w:r w:rsidRPr="00051281">
                          <w:rPr>
                            <w:rFonts w:ascii="Arial" w:eastAsia="Times New Roman" w:hAnsi="Arial" w:cs="Arial"/>
                            <w:color w:val="000000"/>
                            <w:sz w:val="27"/>
                            <w:szCs w:val="27"/>
                            <w:lang w:eastAsia="nl-NL"/>
                          </w:rPr>
                          <w:lastRenderedPageBreak/>
                          <w:t>of U.S. support for Israel. However, it is </w:t>
                        </w:r>
                        <w:hyperlink r:id="rId27" w:history="1">
                          <w:r w:rsidRPr="00051281">
                            <w:rPr>
                              <w:rFonts w:ascii="Arial" w:eastAsia="Times New Roman" w:hAnsi="Arial" w:cs="Arial"/>
                              <w:b/>
                              <w:bCs/>
                              <w:color w:val="0364AA"/>
                              <w:sz w:val="27"/>
                              <w:szCs w:val="27"/>
                              <w:u w:val="single"/>
                              <w:lang w:eastAsia="nl-NL"/>
                            </w:rPr>
                            <w:t>a serious mistake</w:t>
                          </w:r>
                        </w:hyperlink>
                        <w:r w:rsidRPr="00051281">
                          <w:rPr>
                            <w:rFonts w:ascii="Arial" w:eastAsia="Times New Roman" w:hAnsi="Arial" w:cs="Arial"/>
                            <w:color w:val="000000"/>
                            <w:sz w:val="27"/>
                            <w:szCs w:val="27"/>
                            <w:lang w:eastAsia="nl-NL"/>
                          </w:rPr>
                          <w:t> for those on the left to see this anti-Israel criticism as "anti-Zionist."</w:t>
                        </w:r>
                      </w:p>
                    </w:tc>
                  </w:tr>
                  <w:tr w:rsidR="00051281" w:rsidRPr="00051281">
                    <w:trPr>
                      <w:trHeight w:val="150"/>
                      <w:jc w:val="center"/>
                    </w:trPr>
                    <w:tc>
                      <w:tcPr>
                        <w:tcW w:w="0" w:type="auto"/>
                        <w:shd w:val="clear" w:color="auto" w:fill="FFFFFF"/>
                        <w:vAlign w:val="center"/>
                        <w:hideMark/>
                      </w:tcPr>
                      <w:p w:rsidR="00051281" w:rsidRPr="00051281" w:rsidRDefault="00051281" w:rsidP="00051281">
                        <w:pPr>
                          <w:rPr>
                            <w:rFonts w:ascii="Arial" w:eastAsia="Times New Roman" w:hAnsi="Arial" w:cs="Arial"/>
                            <w:color w:val="000000"/>
                            <w:sz w:val="27"/>
                            <w:szCs w:val="27"/>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9600"/>
            </w:tblGrid>
            <w:tr w:rsidR="00051281" w:rsidRPr="00051281">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51281" w:rsidRPr="00051281">
                    <w:trPr>
                      <w:trHeight w:val="300"/>
                      <w:jc w:val="center"/>
                    </w:trPr>
                    <w:tc>
                      <w:tcPr>
                        <w:tcW w:w="0" w:type="auto"/>
                        <w:shd w:val="clear" w:color="auto" w:fill="FFFFFF"/>
                        <w:vAlign w:val="center"/>
                        <w:hideMark/>
                      </w:tcPr>
                      <w:p w:rsidR="00051281" w:rsidRPr="00051281" w:rsidRDefault="00051281" w:rsidP="00051281">
                        <w:pPr>
                          <w:jc w:val="center"/>
                          <w:rPr>
                            <w:rFonts w:ascii="Times New Roman" w:eastAsia="Times New Roman" w:hAnsi="Times New Roman" w:cs="Times New Roman"/>
                            <w:sz w:val="24"/>
                            <w:szCs w:val="24"/>
                            <w:lang w:eastAsia="nl-NL"/>
                          </w:rPr>
                        </w:pPr>
                      </w:p>
                    </w:tc>
                  </w:tr>
                  <w:tr w:rsidR="00051281" w:rsidRPr="00051281">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51281" w:rsidRPr="00051281">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51281" w:rsidRPr="00051281">
                                <w:trPr>
                                  <w:jc w:val="center"/>
                                </w:trPr>
                                <w:tc>
                                  <w:tcPr>
                                    <w:tcW w:w="0" w:type="auto"/>
                                    <w:tcBorders>
                                      <w:top w:val="single" w:sz="6" w:space="0" w:color="EAECED"/>
                                    </w:tcBorders>
                                    <w:vAlign w:val="center"/>
                                    <w:hideMark/>
                                  </w:tcPr>
                                  <w:p w:rsidR="00051281" w:rsidRPr="00051281" w:rsidRDefault="00051281" w:rsidP="00051281">
                                    <w:pPr>
                                      <w:spacing w:line="300" w:lineRule="atLeast"/>
                                      <w:rPr>
                                        <w:rFonts w:ascii="Times New Roman" w:eastAsia="Times New Roman" w:hAnsi="Times New Roman" w:cs="Times New Roman"/>
                                        <w:sz w:val="20"/>
                                        <w:szCs w:val="20"/>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051281" w:rsidRPr="00051281" w:rsidRDefault="00051281" w:rsidP="00051281">
                        <w:pPr>
                          <w:rPr>
                            <w:rFonts w:ascii="Arial" w:eastAsia="Times New Roman" w:hAnsi="Arial" w:cs="Arial"/>
                            <w:color w:val="000000"/>
                            <w:sz w:val="24"/>
                            <w:szCs w:val="24"/>
                            <w:lang w:eastAsia="nl-NL"/>
                          </w:rPr>
                        </w:pPr>
                      </w:p>
                    </w:tc>
                  </w:tr>
                  <w:tr w:rsidR="00051281" w:rsidRPr="00051281">
                    <w:trPr>
                      <w:jc w:val="center"/>
                    </w:trPr>
                    <w:tc>
                      <w:tcPr>
                        <w:tcW w:w="0" w:type="auto"/>
                        <w:shd w:val="clear" w:color="auto" w:fill="FFFFFF"/>
                        <w:vAlign w:val="center"/>
                        <w:hideMark/>
                      </w:tcPr>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rPr>
                      <w:rFonts w:ascii="Times New Roman" w:eastAsia="Times New Roman" w:hAnsi="Times New Roman" w:cs="Times New Roman"/>
                      <w:sz w:val="24"/>
                      <w:szCs w:val="24"/>
                      <w:lang w:eastAsia="nl-NL"/>
                    </w:rPr>
                  </w:pPr>
                </w:p>
              </w:tc>
            </w:tr>
          </w:tbl>
          <w:p w:rsidR="00051281" w:rsidRPr="00051281" w:rsidRDefault="00051281" w:rsidP="00051281">
            <w:pPr>
              <w:jc w:val="center"/>
              <w:rPr>
                <w:rFonts w:ascii="Times New Roman" w:eastAsia="Times New Roman" w:hAnsi="Times New Roman" w:cs="Times New Roman"/>
                <w:sz w:val="24"/>
                <w:szCs w:val="24"/>
                <w:lang w:eastAsia="nl-NL"/>
              </w:rPr>
            </w:pPr>
          </w:p>
        </w:tc>
      </w:tr>
    </w:tbl>
    <w:p w:rsidR="001C06E3" w:rsidRDefault="001C06E3">
      <w:bookmarkStart w:id="0" w:name="_GoBack"/>
      <w:bookmarkEnd w:id="0"/>
    </w:p>
    <w:sectPr w:rsidR="001C0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81"/>
    <w:rsid w:val="00051281"/>
    <w:rsid w:val="001C0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87A22-183E-48FF-B4EF-E8687DBD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j/c/eyJ2Ijoie1wiYVwiOjU5NzMwLFwibFwiOjE3MzE1NjYyMzIwNjg0MzcxNixcInJcIjoxNzMxNTY2MzgwNzk4NDU3NzV9IiwicyI6ImEyZGFhYjA4M2QzNzJhYzMifQ" TargetMode="External"/><Relationship Id="rId13" Type="http://schemas.openxmlformats.org/officeDocument/2006/relationships/hyperlink" Target="https://newsletters.mondoweiss.net/tj/c/eyJ2Ijoie1wiYVwiOjU5NzMwLFwibFwiOjE3MzE1NjYyMzIyNDY2OTUxNixcInJcIjoxNzMxNTY2MzgwNzk4NDU3NzV9IiwicyI6IjQwMGIxMGJjZDI0ZTYxZTcifQ" TargetMode="External"/><Relationship Id="rId18" Type="http://schemas.openxmlformats.org/officeDocument/2006/relationships/hyperlink" Target="https://newsletters.mondoweiss.net/tj/c/eyJ2Ijoie1wiYVwiOjU5NzMwLFwibFwiOjE3MzE1NjYyMzIzOTM0OTU4NyxcInJcIjoxNzMxNTY2MzgwNzk4NDU3NzV9IiwicyI6IjZjNzU3ODIzNTY3ODhkZDIifQ" TargetMode="External"/><Relationship Id="rId26" Type="http://schemas.openxmlformats.org/officeDocument/2006/relationships/hyperlink" Target="https://newsletters.mondoweiss.net/tj/c/eyJ2Ijoie1wiYVwiOjU5NzMwLFwibFwiOjE3MzE1NjYyMzI2NjYxMjU3NSxcInJcIjoxNzMxNTY2MzgwNzk4NDU3NzV9IiwicyI6IjcyNjA5YmQ5ZGIwNjFmZGQifQ" TargetMode="External"/><Relationship Id="rId3" Type="http://schemas.openxmlformats.org/officeDocument/2006/relationships/webSettings" Target="webSettings.xml"/><Relationship Id="rId21" Type="http://schemas.openxmlformats.org/officeDocument/2006/relationships/hyperlink" Target="https://newsletters.mondoweiss.net/tj/c/eyJ2Ijoie1wiYVwiOjU5NzMwLFwibFwiOjE3MzE1NjYyMzI0NjY4OTYyNCxcInJcIjoxNzMxNTY2MzgwNzk4NDU3NzV9IiwicyI6ImM5YTQyOTc1YWU1MzZmYjIifQ" TargetMode="External"/><Relationship Id="rId7" Type="http://schemas.openxmlformats.org/officeDocument/2006/relationships/hyperlink" Target="https://newsletters.mondoweiss.net/tj/c/eyJ2Ijoie1wiYVwiOjU5NzMwLFwibFwiOjE3MzE1NjYyMzIwMjY0OTQxMSxcInJcIjoxNzMxNTY2MzgwNzk4NDU3NzV9IiwicyI6IjQyZTE5YTRkNmY3MmRmNWMifQ" TargetMode="External"/><Relationship Id="rId12" Type="http://schemas.openxmlformats.org/officeDocument/2006/relationships/hyperlink" Target="https://newsletters.mondoweiss.net/tj/c/eyJ2Ijoie1wiYVwiOjU5NzMwLFwibFwiOjE3MzE1NjYyMzIyMTUyMzc4NyxcInJcIjoxNzMxNTY2MzgwNzk4NDU3NzV9IiwicyI6IjdkZjNkMWI0Y2E1MDNmNmYifQ" TargetMode="External"/><Relationship Id="rId17" Type="http://schemas.openxmlformats.org/officeDocument/2006/relationships/hyperlink" Target="https://newsletters.mondoweiss.net/tj/c/eyJ2Ijoie1wiYVwiOjU5NzMwLFwibFwiOjE3MzE1NjYyMzIzNTE1NTI4MCxcInJcIjoxNzMxNTY2MzgwNzk4NDU3NzV9IiwicyI6IjZkZjQ5NTEwMTBhMmFhMWYifQ" TargetMode="External"/><Relationship Id="rId25" Type="http://schemas.openxmlformats.org/officeDocument/2006/relationships/hyperlink" Target="https://newsletters.mondoweiss.net/tj/c/eyJ2Ijoie1wiYVwiOjU5NzMwLFwibFwiOjE3MzE1NjYyMzI2MjQxODI3MCxcInJcIjoxNzMxNTY2MzgwNzk4NDU3NzV9IiwicyI6IjQ2NzU2Y2UxMDIyZDg1NjgifQ" TargetMode="External"/><Relationship Id="rId2" Type="http://schemas.openxmlformats.org/officeDocument/2006/relationships/settings" Target="settings.xml"/><Relationship Id="rId16" Type="http://schemas.openxmlformats.org/officeDocument/2006/relationships/hyperlink" Target="https://newsletters.mondoweiss.net/tj/c/eyJ2Ijoie1wiYVwiOjU5NzMwLFwibFwiOjE3MzE1NjYyMzIzMjAwOTU1MCxcInJcIjoxNzMxNTY2MzgwNzk4NDU3NzV9IiwicyI6IjFmNWZiZGZmOTVhODljNDYifQ"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newsletters.mondoweiss.net/tj/c/eyJ2Ijoie1wiYVwiOjU5NzMwLFwibFwiOjE3MzE1NjYyMzIxNzMyOTQ4MSxcInJcIjoxNzMxNTY2MzgwNzk4NDU3NzV9IiwicyI6Ijc2ZGJhM2U0Y2JkNjM4YjkifQ" TargetMode="External"/><Relationship Id="rId24" Type="http://schemas.openxmlformats.org/officeDocument/2006/relationships/hyperlink" Target="https://newsletters.mondoweiss.net/tj/c/eyJ2Ijoie1wiYVwiOjU5NzMwLFwibFwiOjE3MzE1NjYyMzI1ODIyMzk2NCxcInJcIjoxNzMxNTY2MzgwNzk4NDU3NzV9IiwicyI6IjI2OTIyZjI3YzE1NWE1NmMifQ" TargetMode="External"/><Relationship Id="rId5" Type="http://schemas.openxmlformats.org/officeDocument/2006/relationships/hyperlink" Target="https://newsletters.mondoweiss.net/tj/c/eyJ2Ijoie1wiYVwiOjU5NzMwLFwibFwiOjE3MzE1NjYyMzE5ODQ1NTEwNixcInJcIjoxNzMxNTY2MzgwNzk4NDU3NzV9IiwicyI6IjI5MjI1YTNmYTBjNDYzYzEifQ" TargetMode="External"/><Relationship Id="rId15" Type="http://schemas.openxmlformats.org/officeDocument/2006/relationships/image" Target="media/image2.jpeg"/><Relationship Id="rId23" Type="http://schemas.openxmlformats.org/officeDocument/2006/relationships/hyperlink" Target="https://newsletters.mondoweiss.net/tj/c/eyJ2Ijoie1wiYVwiOjU5NzMwLFwibFwiOjE3MzE1NjYyMzI1NDAyOTY1OSxcInJcIjoxNzMxNTY2MzgwNzk4NDU3NzV9IiwicyI6IjU0MTNlZDY5ZGIzNTY3Y2QifQ" TargetMode="External"/><Relationship Id="rId28" Type="http://schemas.openxmlformats.org/officeDocument/2006/relationships/fontTable" Target="fontTable.xml"/><Relationship Id="rId10" Type="http://schemas.openxmlformats.org/officeDocument/2006/relationships/hyperlink" Target="https://newsletters.mondoweiss.net/tj/c/eyJ2Ijoie1wiYVwiOjU5NzMwLFwibFwiOjE3MzE1NjYyMzIxNDE4Mzc1MixcInJcIjoxNzMxNTY2MzgwNzk4NDU3NzV9IiwicyI6IjY5ZDEwMDU4NjNmZTE1MjgifQ" TargetMode="External"/><Relationship Id="rId19" Type="http://schemas.openxmlformats.org/officeDocument/2006/relationships/hyperlink" Target="https://newsletters.mondoweiss.net/tj/c/eyJ2Ijoie1wiYVwiOjU5NzMwLFwibFwiOjE3MzE1NjYyMzI0MzU0Mzg5MyxcInJcIjoxNzMxNTY2MzgwNzk4NDU3NzV9IiwicyI6IjM2NjQ2ODNhNDZjMzY1MTcifQ" TargetMode="External"/><Relationship Id="rId4" Type="http://schemas.openxmlformats.org/officeDocument/2006/relationships/hyperlink" Target="https://newsletters.mondoweiss.net/tj/c/eyJ2Ijoie1wiYVwiOjU5NzMwLFwibFwiOjE3MzE1NjYyMzE5MjE2MzY0OCxcInJcIjoxNzMxNTY2MzgwNzk4NDU3NzV9IiwicyI6IjI1MzYzZmVmYzEzOTBhZDEifQ" TargetMode="External"/><Relationship Id="rId9" Type="http://schemas.openxmlformats.org/officeDocument/2006/relationships/hyperlink" Target="https://newsletters.mondoweiss.net/tj/c/eyJ2Ijoie1wiYVwiOjU5NzMwLFwibFwiOjE3MzE1NjYyMzIwOTk4OTQ0NyxcInJcIjoxNzMxNTY2MzgwNzk4NDU3NzV9IiwicyI6IjM2ZTlhNmNjNjU2MzQyNDYifQ" TargetMode="External"/><Relationship Id="rId14" Type="http://schemas.openxmlformats.org/officeDocument/2006/relationships/hyperlink" Target="https://newsletters.mondoweiss.net/tj/c/eyJ2Ijoie1wiYVwiOjU5NzMwLFwibFwiOjE3MzE1NjYyMzIyNzgxNTI0NSxcInJcIjoxNzMxNTY2MzgwNzk4NDU3NzV9IiwicyI6IjI4YjgxMWJkMzNmYzU4ZjYifQ" TargetMode="External"/><Relationship Id="rId22" Type="http://schemas.openxmlformats.org/officeDocument/2006/relationships/hyperlink" Target="https://newsletters.mondoweiss.net/tj/c/eyJ2Ijoie1wiYVwiOjU5NzMwLFwibFwiOjE3MzE1NjYyMzI1MDg4MzkzMCxcInJcIjoxNzMxNTY2MzgwNzk4NDU3NzV9IiwicyI6ImI2ODkxY2QxODhlMmE1MzkifQ" TargetMode="External"/><Relationship Id="rId27" Type="http://schemas.openxmlformats.org/officeDocument/2006/relationships/hyperlink" Target="https://newsletters.mondoweiss.net/tj/c/eyJ2Ijoie1wiYVwiOjU5NzMwLFwibFwiOjE3MzE1NjYyMzI3MDgwNjg4MCxcInJcIjoxNzMxNTY2MzgwNzk4NDU3NzV9IiwicyI6IjAyNzVjYmY4Y2FlZTBkM2Yif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7431</Characters>
  <Application>Microsoft Office Word</Application>
  <DocSecurity>0</DocSecurity>
  <Lines>61</Lines>
  <Paragraphs>17</Paragraphs>
  <ScaleCrop>false</ScaleCrop>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2025-12-08T09:52:00Z</dcterms:created>
  <dcterms:modified xsi:type="dcterms:W3CDTF">2025-12-08T09:53:00Z</dcterms:modified>
</cp:coreProperties>
</file>